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C9D684" w14:textId="138E723B" w:rsidR="0094053D" w:rsidRPr="008C67D6" w:rsidRDefault="0094053D" w:rsidP="0094053D">
      <w:pPr>
        <w:keepNext/>
        <w:spacing w:after="0" w:line="240" w:lineRule="auto"/>
        <w:outlineLvl w:val="0"/>
        <w:rPr>
          <w:rFonts w:ascii="Times New Roman" w:eastAsiaTheme="majorEastAsia" w:hAnsi="Times New Roman" w:cs="Times New Roman"/>
          <w:kern w:val="32"/>
          <w:lang w:eastAsia="pl-PL"/>
        </w:rPr>
      </w:pPr>
      <w:r w:rsidRPr="008C67D6">
        <w:rPr>
          <w:rFonts w:ascii="Times New Roman" w:eastAsiaTheme="majorEastAsia" w:hAnsi="Times New Roman" w:cs="Times New Roman"/>
          <w:kern w:val="32"/>
          <w:lang w:eastAsia="pl-PL"/>
        </w:rPr>
        <w:t>OR-RM. 1712.</w:t>
      </w:r>
      <w:r>
        <w:rPr>
          <w:rFonts w:ascii="Times New Roman" w:eastAsiaTheme="majorEastAsia" w:hAnsi="Times New Roman" w:cs="Times New Roman"/>
          <w:kern w:val="32"/>
          <w:lang w:eastAsia="pl-PL"/>
        </w:rPr>
        <w:t>2</w:t>
      </w:r>
      <w:r>
        <w:rPr>
          <w:rFonts w:ascii="Times New Roman" w:eastAsiaTheme="majorEastAsia" w:hAnsi="Times New Roman" w:cs="Times New Roman"/>
          <w:kern w:val="32"/>
          <w:lang w:eastAsia="pl-PL"/>
        </w:rPr>
        <w:t>1</w:t>
      </w:r>
      <w:r w:rsidRPr="008C67D6">
        <w:rPr>
          <w:rFonts w:ascii="Times New Roman" w:eastAsiaTheme="majorEastAsia" w:hAnsi="Times New Roman" w:cs="Times New Roman"/>
          <w:kern w:val="32"/>
          <w:lang w:eastAsia="pl-PL"/>
        </w:rPr>
        <w:t>.20</w:t>
      </w:r>
      <w:r>
        <w:rPr>
          <w:rFonts w:ascii="Times New Roman" w:eastAsiaTheme="majorEastAsia" w:hAnsi="Times New Roman" w:cs="Times New Roman"/>
          <w:kern w:val="32"/>
          <w:lang w:eastAsia="pl-PL"/>
        </w:rPr>
        <w:t>20</w:t>
      </w:r>
      <w:r w:rsidRPr="008C67D6">
        <w:rPr>
          <w:rFonts w:ascii="Times New Roman" w:eastAsiaTheme="majorEastAsia" w:hAnsi="Times New Roman" w:cs="Times New Roman"/>
          <w:kern w:val="32"/>
          <w:lang w:eastAsia="pl-PL"/>
        </w:rPr>
        <w:tab/>
        <w:t xml:space="preserve">               </w:t>
      </w:r>
    </w:p>
    <w:p w14:paraId="31376BC8" w14:textId="36A5EA25" w:rsidR="0094053D" w:rsidRPr="008C67D6" w:rsidRDefault="0094053D" w:rsidP="0094053D">
      <w:pPr>
        <w:widowControl w:val="0"/>
        <w:suppressAutoHyphens/>
        <w:autoSpaceDN w:val="0"/>
        <w:spacing w:after="0" w:line="240" w:lineRule="auto"/>
        <w:jc w:val="center"/>
        <w:textAlignment w:val="baseline"/>
        <w:rPr>
          <w:rFonts w:ascii="Times New Roman" w:eastAsia="Calibri" w:hAnsi="Times New Roman" w:cs="Times New Roman"/>
          <w:b/>
          <w:kern w:val="3"/>
        </w:rPr>
      </w:pPr>
      <w:r w:rsidRPr="008C67D6">
        <w:rPr>
          <w:rFonts w:ascii="Times New Roman" w:eastAsia="Calibri" w:hAnsi="Times New Roman" w:cs="Times New Roman"/>
          <w:b/>
          <w:kern w:val="3"/>
        </w:rPr>
        <w:t xml:space="preserve">Protokół Nr </w:t>
      </w:r>
      <w:r>
        <w:rPr>
          <w:rFonts w:ascii="Times New Roman" w:eastAsia="Calibri" w:hAnsi="Times New Roman" w:cs="Times New Roman"/>
          <w:b/>
          <w:kern w:val="3"/>
        </w:rPr>
        <w:t>2</w:t>
      </w:r>
      <w:r>
        <w:rPr>
          <w:rFonts w:ascii="Times New Roman" w:eastAsia="Calibri" w:hAnsi="Times New Roman" w:cs="Times New Roman"/>
          <w:b/>
          <w:kern w:val="3"/>
        </w:rPr>
        <w:t>1</w:t>
      </w:r>
      <w:r w:rsidRPr="008C67D6">
        <w:rPr>
          <w:rFonts w:ascii="Times New Roman" w:eastAsia="Calibri" w:hAnsi="Times New Roman" w:cs="Times New Roman"/>
          <w:b/>
          <w:kern w:val="3"/>
        </w:rPr>
        <w:t>/20</w:t>
      </w:r>
      <w:r>
        <w:rPr>
          <w:rFonts w:ascii="Times New Roman" w:eastAsia="Calibri" w:hAnsi="Times New Roman" w:cs="Times New Roman"/>
          <w:b/>
          <w:kern w:val="3"/>
        </w:rPr>
        <w:t>20</w:t>
      </w:r>
    </w:p>
    <w:p w14:paraId="0966F532" w14:textId="4DD9376F" w:rsidR="007C102B" w:rsidRDefault="0094053D" w:rsidP="007C102B">
      <w:pPr>
        <w:spacing w:after="0" w:line="240" w:lineRule="auto"/>
        <w:jc w:val="center"/>
        <w:rPr>
          <w:rFonts w:ascii="Times New Roman" w:hAnsi="Times New Roman" w:cs="Times New Roman"/>
          <w:b/>
          <w:bCs/>
          <w:sz w:val="24"/>
          <w:szCs w:val="24"/>
        </w:rPr>
      </w:pPr>
      <w:r w:rsidRPr="008C67D6">
        <w:rPr>
          <w:rFonts w:ascii="Times New Roman" w:eastAsia="SimSun" w:hAnsi="Times New Roman" w:cs="Times New Roman"/>
          <w:b/>
          <w:bCs/>
          <w:kern w:val="3"/>
        </w:rPr>
        <w:t>Tematyka  kontroli: „</w:t>
      </w:r>
      <w:r w:rsidRPr="0094053D">
        <w:rPr>
          <w:rFonts w:ascii="Times New Roman" w:hAnsi="Times New Roman" w:cs="Times New Roman"/>
          <w:b/>
          <w:bCs/>
          <w:sz w:val="24"/>
          <w:szCs w:val="24"/>
        </w:rPr>
        <w:t>Wydatki poniesione na realizację przebudowy świetlicy wiejskiej</w:t>
      </w:r>
    </w:p>
    <w:p w14:paraId="377ED0C4" w14:textId="614AB0A1" w:rsidR="0094053D" w:rsidRPr="0094053D" w:rsidRDefault="0094053D" w:rsidP="007C102B">
      <w:pPr>
        <w:spacing w:after="0" w:line="240" w:lineRule="auto"/>
        <w:jc w:val="center"/>
        <w:rPr>
          <w:rFonts w:ascii="Times New Roman" w:hAnsi="Times New Roman" w:cs="Times New Roman"/>
          <w:sz w:val="24"/>
          <w:szCs w:val="24"/>
        </w:rPr>
      </w:pPr>
      <w:r w:rsidRPr="0094053D">
        <w:rPr>
          <w:rFonts w:ascii="Times New Roman" w:hAnsi="Times New Roman" w:cs="Times New Roman"/>
          <w:b/>
          <w:bCs/>
          <w:sz w:val="24"/>
          <w:szCs w:val="24"/>
        </w:rPr>
        <w:t>w Woli Wapowskiej i świetlicy w Kruszwicy.</w:t>
      </w:r>
      <w:r w:rsidRPr="008C67D6">
        <w:rPr>
          <w:rFonts w:ascii="Times New Roman" w:eastAsia="SimSun" w:hAnsi="Times New Roman" w:cs="Times New Roman"/>
          <w:b/>
          <w:bCs/>
          <w:kern w:val="3"/>
        </w:rPr>
        <w:t>”.</w:t>
      </w:r>
    </w:p>
    <w:p w14:paraId="171BD303" w14:textId="77777777" w:rsidR="0094053D" w:rsidRPr="008C67D6" w:rsidRDefault="0094053D" w:rsidP="0094053D">
      <w:pPr>
        <w:widowControl w:val="0"/>
        <w:suppressAutoHyphens/>
        <w:autoSpaceDN w:val="0"/>
        <w:spacing w:after="0" w:line="240" w:lineRule="auto"/>
        <w:textAlignment w:val="baseline"/>
        <w:rPr>
          <w:rFonts w:ascii="Times New Roman" w:hAnsi="Times New Roman" w:cs="Times New Roman"/>
          <w:b/>
          <w:bCs/>
          <w:kern w:val="3"/>
          <w:sz w:val="24"/>
          <w:szCs w:val="24"/>
        </w:rPr>
      </w:pPr>
    </w:p>
    <w:p w14:paraId="217ACB78" w14:textId="034C4DF7" w:rsidR="0094053D" w:rsidRPr="008C67D6" w:rsidRDefault="0094053D" w:rsidP="0094053D">
      <w:pPr>
        <w:spacing w:after="0" w:line="240" w:lineRule="auto"/>
        <w:rPr>
          <w:rFonts w:ascii="Times New Roman" w:eastAsia="Calibri" w:hAnsi="Times New Roman" w:cs="Times New Roman"/>
          <w:lang w:eastAsia="pl-PL"/>
        </w:rPr>
      </w:pPr>
      <w:r w:rsidRPr="008C67D6">
        <w:rPr>
          <w:rFonts w:ascii="Times New Roman" w:eastAsia="Calibri" w:hAnsi="Times New Roman" w:cs="Times New Roman"/>
          <w:lang w:eastAsia="pl-PL"/>
        </w:rPr>
        <w:t>Posiedzenie kontrolne odbyło się dnia 1</w:t>
      </w:r>
      <w:r>
        <w:rPr>
          <w:rFonts w:ascii="Times New Roman" w:eastAsia="Calibri" w:hAnsi="Times New Roman" w:cs="Times New Roman"/>
          <w:lang w:eastAsia="pl-PL"/>
        </w:rPr>
        <w:t>6</w:t>
      </w:r>
      <w:r>
        <w:rPr>
          <w:rFonts w:ascii="Times New Roman" w:eastAsia="Calibri" w:hAnsi="Times New Roman" w:cs="Times New Roman"/>
          <w:lang w:eastAsia="pl-PL"/>
        </w:rPr>
        <w:t xml:space="preserve"> stycznia</w:t>
      </w:r>
      <w:r w:rsidRPr="008C67D6">
        <w:rPr>
          <w:rFonts w:ascii="Times New Roman" w:eastAsia="Calibri" w:hAnsi="Times New Roman" w:cs="Times New Roman"/>
          <w:lang w:eastAsia="pl-PL"/>
        </w:rPr>
        <w:t xml:space="preserve"> 20</w:t>
      </w:r>
      <w:r>
        <w:rPr>
          <w:rFonts w:ascii="Times New Roman" w:eastAsia="Calibri" w:hAnsi="Times New Roman" w:cs="Times New Roman"/>
          <w:lang w:eastAsia="pl-PL"/>
        </w:rPr>
        <w:t>20</w:t>
      </w:r>
      <w:r w:rsidRPr="008C67D6">
        <w:rPr>
          <w:rFonts w:ascii="Times New Roman" w:eastAsia="Calibri" w:hAnsi="Times New Roman" w:cs="Times New Roman"/>
          <w:lang w:eastAsia="pl-PL"/>
        </w:rPr>
        <w:t>r.</w:t>
      </w:r>
    </w:p>
    <w:p w14:paraId="7EDC88F7" w14:textId="77777777" w:rsidR="0094053D" w:rsidRPr="008C67D6" w:rsidRDefault="0094053D" w:rsidP="0094053D">
      <w:pPr>
        <w:spacing w:after="0" w:line="240" w:lineRule="auto"/>
        <w:jc w:val="both"/>
        <w:rPr>
          <w:rFonts w:ascii="Times New Roman" w:eastAsia="Calibri" w:hAnsi="Times New Roman" w:cs="Times New Roman"/>
          <w:b/>
          <w:bCs/>
          <w:lang w:eastAsia="pl-PL"/>
        </w:rPr>
      </w:pPr>
    </w:p>
    <w:p w14:paraId="6D7F6BC8" w14:textId="77777777" w:rsidR="0094053D" w:rsidRPr="008C67D6" w:rsidRDefault="0094053D" w:rsidP="0094053D">
      <w:pPr>
        <w:widowControl w:val="0"/>
        <w:suppressAutoHyphens/>
        <w:autoSpaceDN w:val="0"/>
        <w:spacing w:after="0" w:line="240" w:lineRule="auto"/>
        <w:jc w:val="both"/>
        <w:textAlignment w:val="baseline"/>
        <w:rPr>
          <w:rFonts w:ascii="Times New Roman" w:eastAsia="Calibri" w:hAnsi="Times New Roman" w:cs="Tahoma"/>
          <w:kern w:val="3"/>
        </w:rPr>
      </w:pPr>
      <w:r w:rsidRPr="008C67D6">
        <w:rPr>
          <w:rFonts w:ascii="Times New Roman" w:eastAsia="Calibri" w:hAnsi="Times New Roman" w:cs="Times New Roman"/>
          <w:kern w:val="3"/>
        </w:rPr>
        <w:t xml:space="preserve">Komisja w składzie: </w:t>
      </w:r>
    </w:p>
    <w:p w14:paraId="4C56C1D4" w14:textId="77777777" w:rsidR="0094053D" w:rsidRPr="008C67D6" w:rsidRDefault="0094053D" w:rsidP="0094053D">
      <w:pPr>
        <w:widowControl w:val="0"/>
        <w:suppressAutoHyphens/>
        <w:autoSpaceDN w:val="0"/>
        <w:spacing w:after="0" w:line="240" w:lineRule="auto"/>
        <w:jc w:val="both"/>
        <w:textAlignment w:val="baseline"/>
        <w:rPr>
          <w:rFonts w:ascii="Times New Roman" w:eastAsia="Calibri" w:hAnsi="Times New Roman" w:cs="Times New Roman"/>
          <w:kern w:val="3"/>
        </w:rPr>
      </w:pPr>
      <w:r w:rsidRPr="008C67D6">
        <w:rPr>
          <w:rFonts w:ascii="Times New Roman" w:eastAsia="Calibri" w:hAnsi="Times New Roman" w:cs="Times New Roman"/>
          <w:kern w:val="3"/>
        </w:rPr>
        <w:t xml:space="preserve">Jarosław Kaczmarek - przewodniczący, </w:t>
      </w:r>
    </w:p>
    <w:p w14:paraId="3756CAB1" w14:textId="77777777" w:rsidR="0094053D" w:rsidRPr="008C67D6" w:rsidRDefault="0094053D" w:rsidP="0094053D">
      <w:pPr>
        <w:widowControl w:val="0"/>
        <w:suppressAutoHyphens/>
        <w:autoSpaceDN w:val="0"/>
        <w:spacing w:after="0" w:line="240" w:lineRule="auto"/>
        <w:jc w:val="both"/>
        <w:textAlignment w:val="baseline"/>
        <w:rPr>
          <w:rFonts w:ascii="Times New Roman" w:eastAsia="Calibri" w:hAnsi="Times New Roman" w:cs="Times New Roman"/>
          <w:kern w:val="3"/>
        </w:rPr>
      </w:pPr>
      <w:r w:rsidRPr="008C67D6">
        <w:rPr>
          <w:rFonts w:ascii="Times New Roman" w:eastAsia="Calibri" w:hAnsi="Times New Roman" w:cs="Times New Roman"/>
          <w:kern w:val="3"/>
        </w:rPr>
        <w:t xml:space="preserve">Teresa Tenerowicz - zastępca przewodniczącego, </w:t>
      </w:r>
    </w:p>
    <w:p w14:paraId="17AAB8A0" w14:textId="77777777" w:rsidR="0094053D" w:rsidRPr="008C67D6" w:rsidRDefault="0094053D" w:rsidP="0094053D">
      <w:pPr>
        <w:widowControl w:val="0"/>
        <w:suppressAutoHyphens/>
        <w:autoSpaceDN w:val="0"/>
        <w:spacing w:after="0" w:line="240" w:lineRule="auto"/>
        <w:jc w:val="both"/>
        <w:textAlignment w:val="baseline"/>
        <w:rPr>
          <w:rFonts w:ascii="Times New Roman" w:eastAsia="Calibri" w:hAnsi="Times New Roman" w:cs="Times New Roman"/>
          <w:kern w:val="3"/>
        </w:rPr>
      </w:pPr>
      <w:r w:rsidRPr="008C67D6">
        <w:rPr>
          <w:rFonts w:ascii="Times New Roman" w:eastAsia="Calibri" w:hAnsi="Times New Roman" w:cs="Times New Roman"/>
          <w:kern w:val="3"/>
        </w:rPr>
        <w:t xml:space="preserve">Tomasz Łożyński - sekretarz komisji. </w:t>
      </w:r>
    </w:p>
    <w:p w14:paraId="0B79A12E" w14:textId="77777777" w:rsidR="0094053D" w:rsidRPr="008C67D6" w:rsidRDefault="0094053D" w:rsidP="0094053D">
      <w:pPr>
        <w:suppressAutoHyphens/>
        <w:autoSpaceDN w:val="0"/>
        <w:spacing w:after="0" w:line="240" w:lineRule="auto"/>
        <w:rPr>
          <w:rFonts w:ascii="Times New Roman" w:eastAsia="SimSun" w:hAnsi="Times New Roman" w:cs="Arial"/>
          <w:kern w:val="3"/>
          <w:sz w:val="24"/>
          <w:szCs w:val="24"/>
          <w:lang w:eastAsia="zh-CN" w:bidi="hi-IN"/>
        </w:rPr>
      </w:pPr>
    </w:p>
    <w:p w14:paraId="5DB6DCA4" w14:textId="77777777" w:rsidR="007C102B" w:rsidRDefault="0094053D" w:rsidP="0094053D">
      <w:pPr>
        <w:pStyle w:val="Standard"/>
        <w:spacing w:after="0" w:line="240" w:lineRule="auto"/>
      </w:pPr>
      <w:r>
        <w:t xml:space="preserve">Informacji udzieliła Pani Monika Winiarczyk Kierownik Referatu Planowania, Inwestycji </w:t>
      </w:r>
    </w:p>
    <w:p w14:paraId="6ADFE682" w14:textId="213086FA" w:rsidR="0094053D" w:rsidRDefault="0094053D" w:rsidP="0094053D">
      <w:pPr>
        <w:pStyle w:val="Standard"/>
        <w:spacing w:after="0" w:line="240" w:lineRule="auto"/>
      </w:pPr>
      <w:bookmarkStart w:id="0" w:name="_GoBack"/>
      <w:bookmarkEnd w:id="0"/>
      <w:r>
        <w:t>i Funduszy Zewnętrznych.</w:t>
      </w:r>
    </w:p>
    <w:p w14:paraId="2A9AE697" w14:textId="21579ED3" w:rsidR="0094053D" w:rsidRDefault="0094053D" w:rsidP="0094053D">
      <w:pPr>
        <w:pStyle w:val="Standard"/>
        <w:spacing w:after="0" w:line="240" w:lineRule="auto"/>
        <w:jc w:val="both"/>
        <w:rPr>
          <w:rFonts w:eastAsia="Times New Roman" w:cs="Times New Roman"/>
          <w:b/>
          <w:bCs/>
          <w:lang w:eastAsia="pl-PL"/>
        </w:rPr>
      </w:pPr>
      <w:r>
        <w:rPr>
          <w:rFonts w:eastAsia="Times New Roman" w:cs="Times New Roman"/>
          <w:b/>
          <w:bCs/>
          <w:lang w:eastAsia="pl-PL"/>
        </w:rPr>
        <w:t>1. Przebudowa świetlicy wiejskiej w Woli Wapowskiej na cele związane z aktywizacją społeczności lokalnej</w:t>
      </w:r>
      <w:r>
        <w:rPr>
          <w:rFonts w:eastAsia="Times New Roman" w:cs="Times New Roman"/>
          <w:b/>
          <w:bCs/>
          <w:lang w:eastAsia="pl-PL"/>
        </w:rPr>
        <w:t>.</w:t>
      </w:r>
    </w:p>
    <w:p w14:paraId="138CEEEC" w14:textId="3974D0EF" w:rsidR="0094053D" w:rsidRDefault="0094053D" w:rsidP="0094053D">
      <w:pPr>
        <w:pStyle w:val="Standard"/>
        <w:spacing w:after="0" w:line="240" w:lineRule="auto"/>
        <w:jc w:val="both"/>
      </w:pPr>
      <w:r>
        <w:rPr>
          <w:rFonts w:eastAsia="Times New Roman" w:cs="Times New Roman"/>
          <w:lang w:eastAsia="pl-PL"/>
        </w:rPr>
        <w:t>Projekt ten był realizowany pod nazwą:</w:t>
      </w:r>
      <w:r>
        <w:rPr>
          <w:rFonts w:eastAsia="Times New Roman" w:cs="Times New Roman"/>
          <w:b/>
          <w:bCs/>
          <w:lang w:eastAsia="pl-PL"/>
        </w:rPr>
        <w:t xml:space="preserve"> „Przebudowa świetlicy wiejskiej w Woli Wapowskiej na cele związane z aktywizacją społeczności lokalnej</w:t>
      </w:r>
      <w:r>
        <w:rPr>
          <w:rFonts w:eastAsia="Times New Roman" w:cs="Times New Roman"/>
          <w:lang w:eastAsia="pl-PL"/>
        </w:rPr>
        <w:t>”.</w:t>
      </w:r>
      <w:r>
        <w:rPr>
          <w:rFonts w:eastAsia="Times New Roman" w:cs="Times New Roman"/>
          <w:lang w:eastAsia="pl-PL"/>
        </w:rPr>
        <w:t xml:space="preserve"> </w:t>
      </w:r>
      <w:r>
        <w:rPr>
          <w:rFonts w:eastAsia="Times New Roman" w:cs="Times New Roman"/>
          <w:lang w:eastAsia="pl-PL"/>
        </w:rPr>
        <w:t>Jest on współfinansowany z Europejskiego Funduszu Rozwoju Regionalnego oraz rozwój lokalny kierowany przez społeczność Regionalnego Programu Operacyjnego Województwa Kujawsko – Pomorskiego na lata 2014–2020, za pośrednictwem Stowarzyszenia - Lokalna Grupa Działania Czarnoziem na Soli w Inowrocławiu.</w:t>
      </w:r>
    </w:p>
    <w:p w14:paraId="20B692D4" w14:textId="24EDC7EA" w:rsidR="0094053D" w:rsidRDefault="0094053D" w:rsidP="0094053D">
      <w:pPr>
        <w:pStyle w:val="Standard"/>
        <w:spacing w:after="0" w:line="240" w:lineRule="auto"/>
        <w:jc w:val="both"/>
      </w:pPr>
      <w:r>
        <w:rPr>
          <w:rFonts w:eastAsia="Times New Roman" w:cs="Times New Roman"/>
          <w:b/>
          <w:bCs/>
          <w:lang w:eastAsia="pl-PL"/>
        </w:rPr>
        <w:t>Całkowita wartość projektu wyniosła:</w:t>
      </w:r>
      <w:r>
        <w:rPr>
          <w:rFonts w:eastAsia="Times New Roman" w:cs="Times New Roman"/>
          <w:lang w:eastAsia="pl-PL"/>
        </w:rPr>
        <w:t xml:space="preserve"> 523.256,35zł</w:t>
      </w:r>
      <w:r>
        <w:rPr>
          <w:rFonts w:eastAsia="Times New Roman" w:cs="Times New Roman"/>
          <w:lang w:eastAsia="pl-PL"/>
        </w:rPr>
        <w:t>,</w:t>
      </w:r>
      <w:r>
        <w:rPr>
          <w:rFonts w:eastAsia="Times New Roman" w:cs="Times New Roman"/>
          <w:lang w:eastAsia="pl-PL"/>
        </w:rPr>
        <w:t xml:space="preserve"> z czego dofinansowanie to 70,76% całkowitych wydatków kwalifikowalnych, tj. kwota 339.942,12zł</w:t>
      </w:r>
    </w:p>
    <w:p w14:paraId="172B803F" w14:textId="77777777" w:rsidR="0094053D" w:rsidRDefault="0094053D" w:rsidP="0094053D">
      <w:pPr>
        <w:pStyle w:val="Standard"/>
        <w:spacing w:after="0" w:line="240" w:lineRule="auto"/>
        <w:jc w:val="both"/>
        <w:rPr>
          <w:rFonts w:cs="Times New Roman"/>
        </w:rPr>
      </w:pPr>
      <w:r>
        <w:rPr>
          <w:rFonts w:cs="Times New Roman"/>
        </w:rPr>
        <w:t>Gmina Kruszwica otrzymała również pozytywną rekomendację Lokalnej Grupy Działania „Czarnoziem na Soli” dotyczącej zwiększenia dofinansowania do wysokości ujętej w LPR Gminy Kruszwica, tj. 367.446,94zł. W związku z powyższym złożono wniosek o aneksowanie umowy o dofinansowanie. Gmina Kruszwica oczekuje na odpowiedź w w/w sprawie.</w:t>
      </w:r>
    </w:p>
    <w:p w14:paraId="7AE3B152" w14:textId="77777777" w:rsidR="0094053D" w:rsidRDefault="0094053D" w:rsidP="0094053D">
      <w:pPr>
        <w:pStyle w:val="Standard"/>
        <w:spacing w:after="0" w:line="240" w:lineRule="auto"/>
        <w:jc w:val="both"/>
      </w:pPr>
      <w:r>
        <w:rPr>
          <w:rFonts w:eastAsia="Times New Roman" w:cs="Times New Roman"/>
          <w:lang w:eastAsia="pl-PL"/>
        </w:rPr>
        <w:t xml:space="preserve">Data podpisania umowy o dofinansowanie wydatków kwalifikowalnych, nastąpiła w dniu </w:t>
      </w:r>
      <w:r>
        <w:rPr>
          <w:rFonts w:cs="Times New Roman"/>
        </w:rPr>
        <w:t>06.06.2019</w:t>
      </w:r>
      <w:r>
        <w:rPr>
          <w:rFonts w:eastAsia="Times New Roman" w:cs="Times New Roman"/>
          <w:lang w:eastAsia="pl-PL"/>
        </w:rPr>
        <w:t>r.</w:t>
      </w:r>
    </w:p>
    <w:p w14:paraId="0C169F16" w14:textId="45FD2CD8" w:rsidR="0094053D" w:rsidRDefault="0094053D" w:rsidP="0094053D">
      <w:pPr>
        <w:pStyle w:val="Standard"/>
        <w:spacing w:after="0" w:line="240" w:lineRule="auto"/>
        <w:jc w:val="both"/>
      </w:pPr>
      <w:r>
        <w:rPr>
          <w:rFonts w:eastAsia="Times New Roman" w:cs="Times New Roman"/>
          <w:lang w:eastAsia="pl-PL"/>
        </w:rPr>
        <w:t>W</w:t>
      </w:r>
      <w:r>
        <w:rPr>
          <w:rFonts w:eastAsia="Times New Roman" w:cs="Times New Roman"/>
          <w:lang w:eastAsia="pl-PL"/>
        </w:rPr>
        <w:t xml:space="preserve">ykonawcę wyłoniono w przetargu </w:t>
      </w:r>
      <w:r>
        <w:rPr>
          <w:rFonts w:eastAsia="Times New Roman" w:cs="Times New Roman"/>
          <w:lang w:eastAsia="pl-PL"/>
        </w:rPr>
        <w:t xml:space="preserve"> i był to </w:t>
      </w:r>
      <w:r>
        <w:rPr>
          <w:rFonts w:cs="Times New Roman"/>
        </w:rPr>
        <w:t>Zakład Ogólno</w:t>
      </w:r>
      <w:r>
        <w:rPr>
          <w:rFonts w:cs="Times New Roman"/>
        </w:rPr>
        <w:t>b</w:t>
      </w:r>
      <w:r>
        <w:rPr>
          <w:rFonts w:cs="Times New Roman"/>
        </w:rPr>
        <w:t>udowlany Wielobranżowy Stanisław Żak z Kruszwicy.</w:t>
      </w:r>
    </w:p>
    <w:p w14:paraId="5AE1D20D" w14:textId="1CAE3E0D" w:rsidR="0094053D" w:rsidRDefault="0094053D" w:rsidP="0094053D">
      <w:pPr>
        <w:pStyle w:val="Standard"/>
        <w:spacing w:after="0" w:line="240" w:lineRule="auto"/>
        <w:jc w:val="both"/>
        <w:rPr>
          <w:rFonts w:eastAsia="Times New Roman" w:cs="Times New Roman"/>
          <w:lang w:eastAsia="pl-PL"/>
        </w:rPr>
      </w:pPr>
      <w:r>
        <w:rPr>
          <w:rFonts w:eastAsia="Times New Roman" w:cs="Times New Roman"/>
          <w:lang w:eastAsia="pl-PL"/>
        </w:rPr>
        <w:t>Nadzór inwestorski pełniła firma GOLIAT II Sp. z o. o. z siedzibą w miejscowości Branno.</w:t>
      </w:r>
    </w:p>
    <w:p w14:paraId="24442C5E" w14:textId="77777777" w:rsidR="0094053D" w:rsidRDefault="0094053D" w:rsidP="0094053D">
      <w:pPr>
        <w:pStyle w:val="Standard"/>
        <w:spacing w:after="0" w:line="240" w:lineRule="auto"/>
        <w:jc w:val="both"/>
        <w:rPr>
          <w:rFonts w:eastAsia="Times New Roman" w:cs="Times New Roman"/>
          <w:b/>
          <w:bCs/>
          <w:lang w:eastAsia="pl-PL"/>
        </w:rPr>
      </w:pPr>
      <w:r>
        <w:rPr>
          <w:rFonts w:eastAsia="Times New Roman" w:cs="Times New Roman"/>
          <w:b/>
          <w:bCs/>
          <w:lang w:eastAsia="pl-PL"/>
        </w:rPr>
        <w:t>Zakres rzeczowy obejmował:</w:t>
      </w:r>
    </w:p>
    <w:p w14:paraId="6666DE59" w14:textId="39AC600E" w:rsidR="0094053D" w:rsidRDefault="0094053D" w:rsidP="0094053D">
      <w:pPr>
        <w:pStyle w:val="Standard"/>
        <w:spacing w:after="0" w:line="240" w:lineRule="auto"/>
        <w:rPr>
          <w:rFonts w:cs="Times New Roman"/>
        </w:rPr>
      </w:pPr>
      <w:r>
        <w:rPr>
          <w:rFonts w:cs="Times New Roman"/>
        </w:rPr>
        <w:t xml:space="preserve">W ramach zadania wykonano remont pomieszczeń świetlicy, częściową wymianą stolarki okiennej, modernizację systemu ogrzewania oraz ocieplenie zewnętrzne. Budynek dostosowano do wymogów przepisów przeciwpożarowych oraz zmodernizowano technicznie tak, by nie zagrażał bezpieczeństwu osób z niego korzystających. Z uwagi na rozszerzony zakres prac o ocieplenie i remont dachu przyległego budynku OSP, gmina poniosła związane tym koszty niekwalifikowlane, czyli nie podlegające dofinansowaniu. </w:t>
      </w:r>
      <w:r>
        <w:rPr>
          <w:rFonts w:cs="Times New Roman"/>
        </w:rPr>
        <w:br/>
        <w:t>Dokumentacja techniczna wraz z aktualizacją kosztorysów inwestorskich zamknęła się kosztem 16.605,00 zł</w:t>
      </w:r>
      <w:r>
        <w:rPr>
          <w:rFonts w:cs="Times New Roman"/>
        </w:rPr>
        <w:t xml:space="preserve">, </w:t>
      </w:r>
      <w:r>
        <w:rPr>
          <w:rFonts w:cs="Times New Roman"/>
        </w:rPr>
        <w:t>w tym dofinansowanie kosztów kwalifikowalnych wyniosło      10.780,64 zł.</w:t>
      </w:r>
    </w:p>
    <w:p w14:paraId="136CF21F" w14:textId="16AC5408" w:rsidR="0094053D" w:rsidRDefault="0094053D" w:rsidP="0094053D">
      <w:pPr>
        <w:pStyle w:val="Standard"/>
        <w:spacing w:after="0" w:line="240" w:lineRule="auto"/>
        <w:rPr>
          <w:rFonts w:cs="Times New Roman"/>
        </w:rPr>
      </w:pPr>
      <w:r>
        <w:rPr>
          <w:rFonts w:cs="Times New Roman"/>
        </w:rPr>
        <w:t>Studium wykonalności, czyli dokument w którym opracowana jest zasadność i właściwości danego projektu niezbędne w celu pozyskiwania środków z RPO, wyniósł 7.999.99 zł</w:t>
      </w:r>
      <w:r>
        <w:rPr>
          <w:rFonts w:cs="Times New Roman"/>
        </w:rPr>
        <w:t>,</w:t>
      </w:r>
      <w:r>
        <w:rPr>
          <w:rFonts w:cs="Times New Roman"/>
        </w:rPr>
        <w:t xml:space="preserve"> w tym dofinansowanie to kwota 5.193,92 zł. Roboty budowlane zamknęły się kosztem 467.900,00 zł. Przy tych pracach pojawiły się największe koszty niekwalifikowalne, które wyniosły 38.268,86 zł. W przypadku tych prac była możliwość odzyskania podatku VAT, który wyniósł 10.499,22 zł.  Dofinansowanie wyniosło 304.002,52 zł.</w:t>
      </w:r>
    </w:p>
    <w:p w14:paraId="5591576B" w14:textId="77777777" w:rsidR="0094053D" w:rsidRDefault="0094053D" w:rsidP="0094053D">
      <w:pPr>
        <w:pStyle w:val="Standard"/>
        <w:spacing w:after="0" w:line="240" w:lineRule="auto"/>
        <w:rPr>
          <w:rFonts w:cs="Times New Roman"/>
        </w:rPr>
      </w:pPr>
    </w:p>
    <w:p w14:paraId="43D37AA3" w14:textId="77777777" w:rsidR="0094053D" w:rsidRDefault="0094053D" w:rsidP="0094053D">
      <w:pPr>
        <w:pStyle w:val="Standard"/>
        <w:spacing w:after="0" w:line="240" w:lineRule="auto"/>
        <w:rPr>
          <w:rFonts w:cs="Times New Roman"/>
        </w:rPr>
      </w:pPr>
      <w:r>
        <w:rPr>
          <w:rFonts w:cs="Times New Roman"/>
        </w:rPr>
        <w:lastRenderedPageBreak/>
        <w:t xml:space="preserve">Nadzór inwestorski firmy GOLLIAT II </w:t>
      </w:r>
      <w:proofErr w:type="spellStart"/>
      <w:r>
        <w:rPr>
          <w:rFonts w:cs="Times New Roman"/>
        </w:rPr>
        <w:t>Sp.z.o.o</w:t>
      </w:r>
      <w:proofErr w:type="spellEnd"/>
      <w:r>
        <w:rPr>
          <w:rFonts w:cs="Times New Roman"/>
        </w:rPr>
        <w:t>. kosztował 18.500,00 zł, i tutaj dofinansowanie wyniosło 12.010,95 zł.</w:t>
      </w:r>
      <w:r>
        <w:rPr>
          <w:rFonts w:cs="Times New Roman"/>
        </w:rPr>
        <w:br/>
        <w:t>Ostatnim wydatkiem były koszty pośrednie- promocja. Są to koszty promocji środków zewnętrznych i sposobu ich wydatkowania. Wyniosły one 12.251,36 zł.     Również tutaj dofinansowanie  było 70,76 % i wyniosło 7.954,09 zł.</w:t>
      </w:r>
    </w:p>
    <w:p w14:paraId="2314A618" w14:textId="77777777" w:rsidR="0094053D" w:rsidRDefault="0094053D" w:rsidP="0094053D">
      <w:pPr>
        <w:pStyle w:val="Standard"/>
        <w:spacing w:after="0" w:line="240" w:lineRule="auto"/>
        <w:rPr>
          <w:rFonts w:eastAsia="Times New Roman" w:cs="Times New Roman"/>
          <w:lang w:eastAsia="pl-PL"/>
        </w:rPr>
      </w:pPr>
      <w:r>
        <w:rPr>
          <w:rFonts w:eastAsia="Times New Roman" w:cs="Times New Roman"/>
          <w:lang w:eastAsia="pl-PL"/>
        </w:rPr>
        <w:t>Prace budowlane odebrano 12.11.2019r.</w:t>
      </w:r>
      <w:r>
        <w:rPr>
          <w:rFonts w:eastAsia="Times New Roman" w:cs="Times New Roman"/>
          <w:lang w:eastAsia="pl-PL"/>
        </w:rPr>
        <w:br/>
        <w:t>W ogólnym rozliczeniu suma kosztów kwalifikowalnych i niekwalifikowalnych wyniosła 523.256,35 zł, w tym koszty kwalifikowane to 480.422,73 zł, a niekwalifikowane, po odliczeniu odzyskanego podatku VAT, 32.334,40 zł.</w:t>
      </w:r>
      <w:r>
        <w:rPr>
          <w:rFonts w:eastAsia="Times New Roman" w:cs="Times New Roman"/>
          <w:lang w:eastAsia="pl-PL"/>
        </w:rPr>
        <w:br/>
        <w:t>Suma dofinansowania w ilości 70,76% wyniosła 339.942,12 zł.</w:t>
      </w:r>
      <w:r>
        <w:rPr>
          <w:rFonts w:eastAsia="Times New Roman" w:cs="Times New Roman"/>
          <w:lang w:eastAsia="pl-PL"/>
        </w:rPr>
        <w:br/>
      </w:r>
    </w:p>
    <w:p w14:paraId="6A34A941" w14:textId="77777777" w:rsidR="0094053D" w:rsidRDefault="0094053D" w:rsidP="0094053D">
      <w:pPr>
        <w:pStyle w:val="Standard"/>
        <w:spacing w:after="0" w:line="240" w:lineRule="auto"/>
        <w:rPr>
          <w:rFonts w:cs="Times New Roman"/>
        </w:rPr>
      </w:pPr>
      <w:r>
        <w:rPr>
          <w:rFonts w:cs="Times New Roman"/>
          <w:b/>
          <w:bCs/>
        </w:rPr>
        <w:t>2.</w:t>
      </w:r>
      <w:r>
        <w:rPr>
          <w:rFonts w:cs="Times New Roman"/>
        </w:rPr>
        <w:t xml:space="preserve"> </w:t>
      </w:r>
      <w:r>
        <w:rPr>
          <w:rFonts w:eastAsia="Times New Roman" w:cs="Times New Roman"/>
          <w:b/>
          <w:bCs/>
          <w:lang w:eastAsia="pl-PL"/>
        </w:rPr>
        <w:t>Termomodernizacja budynków użyteczności publicznej na terenie gminy Kruszwica – świetlica w Kruszwicy</w:t>
      </w:r>
    </w:p>
    <w:p w14:paraId="014E07D8" w14:textId="77777777" w:rsidR="0094053D" w:rsidRDefault="0094053D" w:rsidP="0094053D">
      <w:pPr>
        <w:pStyle w:val="Standard"/>
        <w:spacing w:after="0" w:line="240" w:lineRule="auto"/>
        <w:jc w:val="both"/>
      </w:pPr>
      <w:r>
        <w:rPr>
          <w:rFonts w:eastAsia="Times New Roman" w:cs="Times New Roman"/>
          <w:lang w:eastAsia="pl-PL"/>
        </w:rPr>
        <w:t>Projekt ten realizowany był</w:t>
      </w:r>
      <w:r>
        <w:rPr>
          <w:rFonts w:eastAsia="Times New Roman" w:cs="Times New Roman"/>
          <w:b/>
          <w:bCs/>
          <w:lang w:eastAsia="pl-PL"/>
        </w:rPr>
        <w:t xml:space="preserve"> </w:t>
      </w:r>
      <w:r>
        <w:rPr>
          <w:rFonts w:eastAsia="Times New Roman" w:cs="Times New Roman"/>
          <w:lang w:eastAsia="pl-PL"/>
        </w:rPr>
        <w:t xml:space="preserve">pod nazwą </w:t>
      </w:r>
      <w:r>
        <w:rPr>
          <w:rFonts w:eastAsia="Times New Roman" w:cs="Times New Roman"/>
          <w:b/>
          <w:bCs/>
          <w:lang w:eastAsia="pl-PL"/>
        </w:rPr>
        <w:t>„Termomodernizacja budynków użyteczności publicznej na terenie gminy Kruszwica – świetlica w Kruszwicy”.</w:t>
      </w:r>
      <w:r>
        <w:rPr>
          <w:rFonts w:eastAsia="Times New Roman" w:cs="Times New Roman"/>
          <w:lang w:eastAsia="pl-PL"/>
        </w:rPr>
        <w:t xml:space="preserve"> Również ta inwestycja była współfinansowana z Europejskiego Funduszu Rozwoju Regionalnego oraz efektywność energetyczna w sektorze publicznym i mieszkaniowym Regionalnego Programu Operacyjnego Województwa Kujawsko – Pomorskiego na lata 2014–2020</w:t>
      </w:r>
    </w:p>
    <w:p w14:paraId="298FAC28" w14:textId="511B12C8" w:rsidR="0094053D" w:rsidRDefault="0094053D" w:rsidP="0094053D">
      <w:pPr>
        <w:pStyle w:val="Standard"/>
        <w:spacing w:after="0" w:line="240" w:lineRule="auto"/>
        <w:jc w:val="both"/>
      </w:pPr>
      <w:r>
        <w:rPr>
          <w:rFonts w:eastAsia="Times New Roman" w:cs="Times New Roman"/>
          <w:lang w:eastAsia="pl-PL"/>
        </w:rPr>
        <w:br/>
        <w:t>Całkowita wartość projektu wyniosła 1.191.487,83 zł</w:t>
      </w:r>
      <w:r>
        <w:rPr>
          <w:rFonts w:eastAsia="Times New Roman" w:cs="Times New Roman"/>
          <w:lang w:eastAsia="pl-PL"/>
        </w:rPr>
        <w:t>,</w:t>
      </w:r>
      <w:r>
        <w:rPr>
          <w:rFonts w:eastAsia="Times New Roman" w:cs="Times New Roman"/>
          <w:lang w:eastAsia="pl-PL"/>
        </w:rPr>
        <w:t xml:space="preserve"> w tym dofinansowanie 80% całkowitych wydatków kwalifikowalnych, tj. 634.998,14 zł</w:t>
      </w:r>
      <w:r>
        <w:rPr>
          <w:rFonts w:eastAsia="Times New Roman" w:cs="Times New Roman"/>
          <w:b/>
          <w:bCs/>
          <w:lang w:eastAsia="pl-PL"/>
        </w:rPr>
        <w:t xml:space="preserve"> .</w:t>
      </w:r>
    </w:p>
    <w:p w14:paraId="07CC4756" w14:textId="6C20746C" w:rsidR="0094053D" w:rsidRDefault="0094053D" w:rsidP="0094053D">
      <w:pPr>
        <w:pStyle w:val="Standard"/>
        <w:spacing w:after="0" w:line="240" w:lineRule="auto"/>
        <w:jc w:val="both"/>
      </w:pPr>
      <w:r>
        <w:rPr>
          <w:rFonts w:eastAsia="Times New Roman" w:cs="Times New Roman"/>
          <w:lang w:eastAsia="pl-PL"/>
        </w:rPr>
        <w:t>Podpisanie umowy o dofinansowanie nastąpiło w dniu</w:t>
      </w:r>
      <w:r>
        <w:rPr>
          <w:rFonts w:eastAsia="Times New Roman" w:cs="Times New Roman"/>
          <w:lang w:eastAsia="pl-PL"/>
        </w:rPr>
        <w:t xml:space="preserve"> </w:t>
      </w:r>
      <w:r>
        <w:rPr>
          <w:rFonts w:eastAsia="Times New Roman" w:cs="Times New Roman"/>
          <w:lang w:eastAsia="pl-PL"/>
        </w:rPr>
        <w:t>14.08.2018r.</w:t>
      </w:r>
    </w:p>
    <w:p w14:paraId="42D97430" w14:textId="77777777" w:rsidR="0094053D" w:rsidRDefault="0094053D" w:rsidP="0094053D">
      <w:pPr>
        <w:pStyle w:val="Standard"/>
        <w:spacing w:after="0" w:line="240" w:lineRule="auto"/>
        <w:jc w:val="both"/>
      </w:pPr>
      <w:r>
        <w:rPr>
          <w:rFonts w:eastAsia="Times New Roman" w:cs="Times New Roman"/>
          <w:lang w:eastAsia="pl-PL"/>
        </w:rPr>
        <w:t>Okres realizacji projektu trwał od 28.06.2017r. do 31.12.2019r.</w:t>
      </w:r>
    </w:p>
    <w:p w14:paraId="2BCBDB2B" w14:textId="77777777" w:rsidR="0094053D" w:rsidRDefault="0094053D" w:rsidP="0094053D">
      <w:pPr>
        <w:pStyle w:val="Standard"/>
        <w:spacing w:after="0" w:line="240" w:lineRule="auto"/>
        <w:jc w:val="both"/>
        <w:rPr>
          <w:rFonts w:eastAsia="Times New Roman" w:cs="Times New Roman"/>
          <w:lang w:eastAsia="pl-PL"/>
        </w:rPr>
      </w:pPr>
      <w:r>
        <w:rPr>
          <w:rFonts w:eastAsia="Times New Roman" w:cs="Times New Roman"/>
          <w:lang w:eastAsia="pl-PL"/>
        </w:rPr>
        <w:t xml:space="preserve">Wykonawcą została Firma Ogólnobudowlana „INSTALTECH” Józef </w:t>
      </w:r>
      <w:proofErr w:type="spellStart"/>
      <w:r>
        <w:rPr>
          <w:rFonts w:eastAsia="Times New Roman" w:cs="Times New Roman"/>
          <w:lang w:eastAsia="pl-PL"/>
        </w:rPr>
        <w:t>Sławianowski</w:t>
      </w:r>
      <w:proofErr w:type="spellEnd"/>
      <w:r>
        <w:rPr>
          <w:rFonts w:eastAsia="Times New Roman" w:cs="Times New Roman"/>
          <w:lang w:eastAsia="pl-PL"/>
        </w:rPr>
        <w:t xml:space="preserve"> </w:t>
      </w:r>
    </w:p>
    <w:p w14:paraId="2B4B31A3" w14:textId="341F31F2" w:rsidR="0094053D" w:rsidRDefault="0094053D" w:rsidP="0094053D">
      <w:pPr>
        <w:pStyle w:val="Standard"/>
        <w:spacing w:after="0" w:line="240" w:lineRule="auto"/>
        <w:jc w:val="both"/>
      </w:pPr>
      <w:r>
        <w:rPr>
          <w:rFonts w:eastAsia="Times New Roman" w:cs="Times New Roman"/>
          <w:lang w:eastAsia="pl-PL"/>
        </w:rPr>
        <w:t>z Włocławka</w:t>
      </w:r>
    </w:p>
    <w:p w14:paraId="4C7A1514" w14:textId="77777777" w:rsidR="0094053D" w:rsidRDefault="0094053D" w:rsidP="0094053D">
      <w:pPr>
        <w:pStyle w:val="Standard"/>
        <w:spacing w:after="0" w:line="240" w:lineRule="auto"/>
        <w:rPr>
          <w:rFonts w:eastAsia="Times New Roman" w:cs="Times New Roman"/>
          <w:lang w:eastAsia="pl-PL"/>
        </w:rPr>
      </w:pPr>
      <w:r>
        <w:rPr>
          <w:rFonts w:eastAsia="Times New Roman" w:cs="Times New Roman"/>
          <w:lang w:eastAsia="pl-PL"/>
        </w:rPr>
        <w:t xml:space="preserve">Nadzór inwestorski pełni firma MD-Projekt Kompleksowe Usługi Inżynierskie Dariusz </w:t>
      </w:r>
      <w:proofErr w:type="spellStart"/>
      <w:r>
        <w:rPr>
          <w:rFonts w:eastAsia="Times New Roman" w:cs="Times New Roman"/>
          <w:lang w:eastAsia="pl-PL"/>
        </w:rPr>
        <w:t>Śródecki</w:t>
      </w:r>
      <w:proofErr w:type="spellEnd"/>
      <w:r>
        <w:rPr>
          <w:rFonts w:eastAsia="Times New Roman" w:cs="Times New Roman"/>
          <w:lang w:eastAsia="pl-PL"/>
        </w:rPr>
        <w:t xml:space="preserve">  z siedzibą  w miejscowości Kostrzyn Wielkopolski, natomiast nadzór ornitologiczny (ze względu na gniazda wróbla) pełniła firma </w:t>
      </w:r>
      <w:proofErr w:type="spellStart"/>
      <w:r>
        <w:rPr>
          <w:rFonts w:eastAsia="Times New Roman" w:cs="Times New Roman"/>
          <w:lang w:eastAsia="pl-PL"/>
        </w:rPr>
        <w:t>FENeco</w:t>
      </w:r>
      <w:proofErr w:type="spellEnd"/>
      <w:r>
        <w:rPr>
          <w:rFonts w:eastAsia="Times New Roman" w:cs="Times New Roman"/>
          <w:lang w:eastAsia="pl-PL"/>
        </w:rPr>
        <w:t xml:space="preserve"> Paweł </w:t>
      </w:r>
      <w:proofErr w:type="spellStart"/>
      <w:r>
        <w:rPr>
          <w:rFonts w:eastAsia="Times New Roman" w:cs="Times New Roman"/>
          <w:lang w:eastAsia="pl-PL"/>
        </w:rPr>
        <w:t>Stopiński</w:t>
      </w:r>
      <w:proofErr w:type="spellEnd"/>
      <w:r>
        <w:rPr>
          <w:rFonts w:eastAsia="Times New Roman" w:cs="Times New Roman"/>
          <w:lang w:eastAsia="pl-PL"/>
        </w:rPr>
        <w:t xml:space="preserve"> </w:t>
      </w:r>
    </w:p>
    <w:p w14:paraId="7EBC146D" w14:textId="1FA9B464" w:rsidR="0094053D" w:rsidRDefault="0094053D" w:rsidP="0094053D">
      <w:pPr>
        <w:pStyle w:val="Standard"/>
        <w:spacing w:after="0" w:line="240" w:lineRule="auto"/>
        <w:rPr>
          <w:rFonts w:eastAsia="Times New Roman" w:cs="Times New Roman"/>
          <w:lang w:eastAsia="pl-PL"/>
        </w:rPr>
      </w:pPr>
      <w:r>
        <w:rPr>
          <w:rFonts w:eastAsia="Times New Roman" w:cs="Times New Roman"/>
          <w:lang w:eastAsia="pl-PL"/>
        </w:rPr>
        <w:t xml:space="preserve">z Inowrocławia. </w:t>
      </w:r>
      <w:r>
        <w:rPr>
          <w:rFonts w:eastAsia="Times New Roman" w:cs="Times New Roman"/>
          <w:lang w:eastAsia="pl-PL"/>
        </w:rPr>
        <w:br/>
        <w:t>Celem projektu jest poprawa efektywności energetycznej w sektorze użyteczności publicznej. W ramach projektu przeprowadzona była modernizacja energetyczna obiektu na podstawie przeprowadzonego audytu w celu osiągnięcia najlepszego stosunku wielkości środków publicznych do uzyskanych efektów energetycznych. Realizacja projektu przyczyni się do racjonalizacji zużycia i ograniczenia strat energii, co wpłynie na zmniejszenie zapotrzebowania na energię. Poprawa efektywności energetycznej wpłynie również na obniżenie tzw. niskiej emisji, a także zasadniczo zmniejszy koszty utrzymania obiektu.</w:t>
      </w:r>
    </w:p>
    <w:p w14:paraId="10688E1D" w14:textId="77777777" w:rsidR="0094053D" w:rsidRDefault="0094053D" w:rsidP="0094053D">
      <w:pPr>
        <w:pStyle w:val="Standard"/>
        <w:spacing w:after="0" w:line="240" w:lineRule="auto"/>
        <w:jc w:val="both"/>
        <w:rPr>
          <w:rFonts w:eastAsia="Times New Roman" w:cs="Times New Roman"/>
          <w:lang w:eastAsia="pl-PL"/>
        </w:rPr>
      </w:pPr>
      <w:r>
        <w:rPr>
          <w:rFonts w:eastAsia="Times New Roman" w:cs="Times New Roman"/>
          <w:lang w:eastAsia="pl-PL"/>
        </w:rPr>
        <w:t>W ramach inwestycji przewidziano między innymi: docieplenie podłogi na gruncie; docieplenie dachu; docieplenie ścian zewnętrznych; wymianę stolarki okiennej, modernizację systemu ciepłej wody użytkowej (zastosowanie kolektorów słonecznych), modernizację systemu ogrzewania (zastosowanie ogrzewania gazem ziemnym), remont pomieszczeń.</w:t>
      </w:r>
    </w:p>
    <w:p w14:paraId="1620B366" w14:textId="77777777" w:rsidR="0094053D" w:rsidRDefault="0094053D" w:rsidP="0094053D">
      <w:pPr>
        <w:pStyle w:val="Standard"/>
        <w:spacing w:after="0" w:line="240" w:lineRule="auto"/>
        <w:rPr>
          <w:rFonts w:eastAsia="Times New Roman" w:cs="Times New Roman"/>
          <w:lang w:eastAsia="pl-PL"/>
        </w:rPr>
      </w:pPr>
      <w:r>
        <w:rPr>
          <w:rFonts w:eastAsia="Times New Roman" w:cs="Times New Roman"/>
          <w:lang w:eastAsia="pl-PL"/>
        </w:rPr>
        <w:t>W tym przypadku również z uwagi na rozszerzony zakres prac takich jak: remont łazienek i klatki schodowej, montaż pompy ciepła oraz opaski w tylnej części budynku i wzmocnienia konstrukcji, gmina poniosła związane tym koszty niekwalifikowlane.</w:t>
      </w:r>
    </w:p>
    <w:p w14:paraId="7F8F00C1" w14:textId="77777777" w:rsidR="0094053D" w:rsidRDefault="0094053D" w:rsidP="0094053D">
      <w:pPr>
        <w:pStyle w:val="Standard"/>
        <w:spacing w:after="0" w:line="240" w:lineRule="auto"/>
        <w:rPr>
          <w:rFonts w:cs="Times New Roman"/>
        </w:rPr>
      </w:pPr>
      <w:r>
        <w:rPr>
          <w:rFonts w:cs="Times New Roman"/>
        </w:rPr>
        <w:t>Dokumentacja projektowa zamknęła się kwotom 25.830,00 zł w tym dofinansowanie kosztów kwalifikowalnych wyniosło  13.124,59 zł.</w:t>
      </w:r>
    </w:p>
    <w:p w14:paraId="2C1CEEDD" w14:textId="77777777" w:rsidR="0094053D" w:rsidRDefault="0094053D" w:rsidP="0094053D">
      <w:pPr>
        <w:pStyle w:val="Standard"/>
        <w:spacing w:after="0" w:line="240" w:lineRule="auto"/>
        <w:rPr>
          <w:rFonts w:cs="Times New Roman"/>
        </w:rPr>
      </w:pPr>
      <w:r>
        <w:rPr>
          <w:rFonts w:cs="Times New Roman"/>
        </w:rPr>
        <w:t xml:space="preserve">Studium wykonalności to suma 8.000,00 zł, w tym dofinansowanie to kwota 4.268,59 zł. Roboty budowlane zamknęły się kosztem 1.135.367,83 zł. Przy tych pracach pojawiły się największe koszty niekwalifikowalne, które wyniosły 378.226,29 zł.               </w:t>
      </w:r>
      <w:r>
        <w:rPr>
          <w:rFonts w:cs="Times New Roman"/>
        </w:rPr>
        <w:br/>
        <w:t>Dofinansowanie wyniosło 605.713,23zł.</w:t>
      </w:r>
    </w:p>
    <w:p w14:paraId="6D046CC6" w14:textId="77777777" w:rsidR="0094053D" w:rsidRDefault="0094053D" w:rsidP="0094053D">
      <w:pPr>
        <w:pStyle w:val="Standard"/>
        <w:spacing w:after="0" w:line="240" w:lineRule="auto"/>
        <w:rPr>
          <w:rFonts w:cs="Times New Roman"/>
        </w:rPr>
      </w:pPr>
    </w:p>
    <w:p w14:paraId="5DCDD5A0" w14:textId="77777777" w:rsidR="0094053D" w:rsidRDefault="0094053D" w:rsidP="0094053D">
      <w:pPr>
        <w:pStyle w:val="Standard"/>
        <w:spacing w:after="0" w:line="240" w:lineRule="auto"/>
        <w:rPr>
          <w:rFonts w:cs="Times New Roman"/>
        </w:rPr>
      </w:pPr>
      <w:bookmarkStart w:id="1" w:name="_GoBack1"/>
      <w:bookmarkEnd w:id="1"/>
      <w:r>
        <w:rPr>
          <w:rFonts w:cs="Times New Roman"/>
        </w:rPr>
        <w:lastRenderedPageBreak/>
        <w:t>Nadzór inwestorski firmy MD-Projekt oraz ornitologiczny kosztował 21.540,00 zł, i tutaj dofinansowanie wyniosło 11.492,02 zł.</w:t>
      </w:r>
      <w:r>
        <w:rPr>
          <w:rFonts w:cs="Times New Roman"/>
        </w:rPr>
        <w:br/>
        <w:t>Ostatnim wydatkiem były koszty pośrednie- promocja. Wyniosły one 750,00 zł.     Również tutaj dofinansowanie  było 80,00 % i wyniosło 400,14zł.</w:t>
      </w:r>
    </w:p>
    <w:p w14:paraId="3C8931F8" w14:textId="21AC37C2" w:rsidR="0094053D" w:rsidRDefault="0094053D" w:rsidP="0094053D">
      <w:pPr>
        <w:pStyle w:val="Standard"/>
        <w:spacing w:after="0" w:line="240" w:lineRule="auto"/>
        <w:rPr>
          <w:rFonts w:eastAsia="Times New Roman" w:cs="Times New Roman"/>
          <w:lang w:eastAsia="pl-PL"/>
        </w:rPr>
      </w:pPr>
      <w:r>
        <w:rPr>
          <w:rFonts w:eastAsia="Times New Roman" w:cs="Times New Roman"/>
          <w:lang w:eastAsia="pl-PL"/>
        </w:rPr>
        <w:t>Prace budowlane odebrano 12.11.2019r.</w:t>
      </w:r>
      <w:r>
        <w:rPr>
          <w:rFonts w:eastAsia="Times New Roman" w:cs="Times New Roman"/>
          <w:lang w:eastAsia="pl-PL"/>
        </w:rPr>
        <w:br/>
        <w:t>W ogólnym rozliczeniu suma kosztów kwalifikowalnych i niekwalifikowalnych wyniosła 1.191.487,83 zł., w tym koszty kwalifikowalne to 793.747,68 zł, a niekwalifikowalne 397.740,15zł.</w:t>
      </w:r>
      <w:r>
        <w:rPr>
          <w:rFonts w:eastAsia="Times New Roman" w:cs="Times New Roman"/>
          <w:lang w:eastAsia="pl-PL"/>
        </w:rPr>
        <w:br/>
        <w:t>Suma dofinansowania w ilości 80,00% wyniosła 634.998,14 z</w:t>
      </w:r>
      <w:r>
        <w:rPr>
          <w:rFonts w:eastAsia="Times New Roman" w:cs="Times New Roman"/>
          <w:lang w:eastAsia="pl-PL"/>
        </w:rPr>
        <w:t>ł</w:t>
      </w:r>
    </w:p>
    <w:p w14:paraId="764EBE93" w14:textId="64B4ED33" w:rsidR="0094053D" w:rsidRDefault="0094053D" w:rsidP="0094053D">
      <w:pPr>
        <w:pStyle w:val="Standard"/>
        <w:spacing w:after="0" w:line="240" w:lineRule="auto"/>
        <w:rPr>
          <w:rFonts w:eastAsia="Times New Roman" w:cs="Times New Roman"/>
          <w:lang w:eastAsia="pl-PL"/>
        </w:rPr>
      </w:pPr>
      <w:r>
        <w:rPr>
          <w:rFonts w:eastAsia="Times New Roman" w:cs="Times New Roman"/>
          <w:lang w:eastAsia="pl-PL"/>
        </w:rPr>
        <w:t>Należy stwierdzić, że obie inwestycje były niezbędnym czynnikiem poprawiającym wizerunek obszaru miasta jak i wsi. W Woli Wapowskiej modernizacja świetlicy umożliwi zwiększoną aktywność społeczną, również mieszkańców przyległych wiosek. Może być miejscem wykorzystywanym również przez sąsiednie miejscowości.</w:t>
      </w:r>
      <w:r>
        <w:rPr>
          <w:rFonts w:eastAsia="Times New Roman" w:cs="Times New Roman"/>
          <w:lang w:eastAsia="pl-PL"/>
        </w:rPr>
        <w:br/>
        <w:t xml:space="preserve">Natomiast świetlica w Kruszwicy, z uwagi na swą dużą przestrzeń, będzie siedzibą: </w:t>
      </w:r>
      <w:r>
        <w:rPr>
          <w:rFonts w:eastAsia="Times New Roman" w:cs="Times New Roman"/>
          <w:lang w:eastAsia="pl-PL"/>
        </w:rPr>
        <w:br/>
        <w:t xml:space="preserve">  - </w:t>
      </w:r>
      <w:r>
        <w:rPr>
          <w:rFonts w:eastAsia="Times New Roman" w:cs="Times New Roman"/>
          <w:lang w:eastAsia="pl-PL"/>
        </w:rPr>
        <w:t>Ś</w:t>
      </w:r>
      <w:r>
        <w:rPr>
          <w:rFonts w:eastAsia="Times New Roman" w:cs="Times New Roman"/>
          <w:lang w:eastAsia="pl-PL"/>
        </w:rPr>
        <w:t xml:space="preserve">wietlicy socjoterapeutycznej </w:t>
      </w:r>
      <w:r>
        <w:rPr>
          <w:rFonts w:eastAsia="Times New Roman" w:cs="Times New Roman"/>
          <w:lang w:eastAsia="pl-PL"/>
        </w:rPr>
        <w:br/>
        <w:t xml:space="preserve"> </w:t>
      </w:r>
      <w:r>
        <w:rPr>
          <w:rFonts w:eastAsia="Times New Roman" w:cs="Times New Roman"/>
          <w:lang w:eastAsia="pl-PL"/>
        </w:rPr>
        <w:t xml:space="preserve"> </w:t>
      </w:r>
      <w:r>
        <w:rPr>
          <w:rFonts w:eastAsia="Times New Roman" w:cs="Times New Roman"/>
          <w:lang w:eastAsia="pl-PL"/>
        </w:rPr>
        <w:t xml:space="preserve">- </w:t>
      </w:r>
      <w:r>
        <w:rPr>
          <w:rFonts w:eastAsia="Times New Roman" w:cs="Times New Roman"/>
          <w:lang w:eastAsia="pl-PL"/>
        </w:rPr>
        <w:t>K</w:t>
      </w:r>
      <w:r>
        <w:rPr>
          <w:rFonts w:eastAsia="Times New Roman" w:cs="Times New Roman"/>
          <w:lang w:eastAsia="pl-PL"/>
        </w:rPr>
        <w:t>oła Gospodyń Wiejskich -Grodztwo</w:t>
      </w:r>
      <w:r>
        <w:rPr>
          <w:rFonts w:eastAsia="Times New Roman" w:cs="Times New Roman"/>
          <w:lang w:eastAsia="pl-PL"/>
        </w:rPr>
        <w:br/>
        <w:t xml:space="preserve"> </w:t>
      </w:r>
      <w:r>
        <w:rPr>
          <w:rFonts w:eastAsia="Times New Roman" w:cs="Times New Roman"/>
          <w:lang w:eastAsia="pl-PL"/>
        </w:rPr>
        <w:t xml:space="preserve"> </w:t>
      </w:r>
      <w:r>
        <w:rPr>
          <w:rFonts w:eastAsia="Times New Roman" w:cs="Times New Roman"/>
          <w:lang w:eastAsia="pl-PL"/>
        </w:rPr>
        <w:t xml:space="preserve">- </w:t>
      </w:r>
      <w:r>
        <w:rPr>
          <w:rFonts w:eastAsia="Times New Roman" w:cs="Times New Roman"/>
          <w:lang w:eastAsia="pl-PL"/>
        </w:rPr>
        <w:t>K</w:t>
      </w:r>
      <w:r>
        <w:rPr>
          <w:rFonts w:eastAsia="Times New Roman" w:cs="Times New Roman"/>
          <w:lang w:eastAsia="pl-PL"/>
        </w:rPr>
        <w:t>ółka Rolniczego</w:t>
      </w:r>
      <w:r>
        <w:rPr>
          <w:rFonts w:eastAsia="Times New Roman" w:cs="Times New Roman"/>
          <w:lang w:eastAsia="pl-PL"/>
        </w:rPr>
        <w:t xml:space="preserve"> w</w:t>
      </w:r>
      <w:r>
        <w:rPr>
          <w:rFonts w:eastAsia="Times New Roman" w:cs="Times New Roman"/>
          <w:lang w:eastAsia="pl-PL"/>
        </w:rPr>
        <w:t xml:space="preserve"> Grodztw</w:t>
      </w:r>
      <w:r>
        <w:rPr>
          <w:rFonts w:eastAsia="Times New Roman" w:cs="Times New Roman"/>
          <w:lang w:eastAsia="pl-PL"/>
        </w:rPr>
        <w:t>ie</w:t>
      </w:r>
      <w:r>
        <w:rPr>
          <w:rFonts w:eastAsia="Times New Roman" w:cs="Times New Roman"/>
          <w:lang w:eastAsia="pl-PL"/>
        </w:rPr>
        <w:t xml:space="preserve"> ora</w:t>
      </w:r>
      <w:r>
        <w:rPr>
          <w:rFonts w:eastAsia="Times New Roman" w:cs="Times New Roman"/>
          <w:lang w:eastAsia="pl-PL"/>
        </w:rPr>
        <w:t>z Klubu Seniora.</w:t>
      </w:r>
    </w:p>
    <w:p w14:paraId="45F1F22E" w14:textId="32F9D1CC" w:rsidR="0094053D" w:rsidRDefault="0094053D" w:rsidP="0094053D">
      <w:pPr>
        <w:pStyle w:val="Standard"/>
        <w:spacing w:after="0" w:line="240" w:lineRule="auto"/>
        <w:rPr>
          <w:rFonts w:eastAsia="Times New Roman" w:cs="Times New Roman"/>
          <w:lang w:eastAsia="pl-PL"/>
        </w:rPr>
      </w:pPr>
      <w:r>
        <w:rPr>
          <w:rFonts w:eastAsia="Times New Roman" w:cs="Times New Roman"/>
          <w:lang w:eastAsia="pl-PL"/>
        </w:rPr>
        <w:t xml:space="preserve"> W obu inwestycjach środki zostały prawidłowo wykorzystane. Uzasadnione było </w:t>
      </w:r>
      <w:r w:rsidR="007C102B">
        <w:rPr>
          <w:rFonts w:eastAsia="Times New Roman" w:cs="Times New Roman"/>
          <w:lang w:eastAsia="pl-PL"/>
        </w:rPr>
        <w:t>przeznaczenie dodatkowych środków finansowych</w:t>
      </w:r>
      <w:r>
        <w:rPr>
          <w:rFonts w:eastAsia="Times New Roman" w:cs="Times New Roman"/>
          <w:lang w:eastAsia="pl-PL"/>
        </w:rPr>
        <w:t xml:space="preserve"> niekwalifikowalnych w celu zespojenia prac w obu </w:t>
      </w:r>
      <w:r w:rsidR="007C102B">
        <w:rPr>
          <w:rFonts w:eastAsia="Times New Roman" w:cs="Times New Roman"/>
          <w:lang w:eastAsia="pl-PL"/>
        </w:rPr>
        <w:t>budynkach</w:t>
      </w:r>
      <w:r>
        <w:rPr>
          <w:rFonts w:eastAsia="Times New Roman" w:cs="Times New Roman"/>
          <w:lang w:eastAsia="pl-PL"/>
        </w:rPr>
        <w:t xml:space="preserve">. </w:t>
      </w:r>
      <w:r>
        <w:rPr>
          <w:rFonts w:eastAsia="Times New Roman" w:cs="Times New Roman"/>
          <w:lang w:eastAsia="pl-PL"/>
        </w:rPr>
        <w:br/>
      </w:r>
    </w:p>
    <w:p w14:paraId="34F25B59" w14:textId="50A72FCF" w:rsidR="007C102B" w:rsidRDefault="007C102B" w:rsidP="0094053D">
      <w:pPr>
        <w:pStyle w:val="Standard"/>
        <w:spacing w:after="0" w:line="240" w:lineRule="auto"/>
        <w:rPr>
          <w:rFonts w:eastAsia="Times New Roman" w:cs="Times New Roman"/>
          <w:lang w:eastAsia="pl-PL"/>
        </w:rPr>
      </w:pPr>
    </w:p>
    <w:p w14:paraId="38E2072B" w14:textId="5239D6D5" w:rsidR="007C102B" w:rsidRDefault="007C102B" w:rsidP="0094053D">
      <w:pPr>
        <w:pStyle w:val="Standard"/>
        <w:spacing w:after="0" w:line="240" w:lineRule="auto"/>
        <w:rPr>
          <w:rFonts w:eastAsia="Times New Roman" w:cs="Times New Roman"/>
          <w:lang w:eastAsia="pl-PL"/>
        </w:rPr>
      </w:pPr>
    </w:p>
    <w:p w14:paraId="0E54EE40" w14:textId="6DE6A7D8" w:rsidR="007C102B" w:rsidRDefault="007C102B" w:rsidP="007C102B">
      <w:pPr>
        <w:suppressAutoHyphens/>
        <w:autoSpaceDN w:val="0"/>
        <w:spacing w:after="0" w:line="240" w:lineRule="auto"/>
        <w:jc w:val="both"/>
        <w:rPr>
          <w:rFonts w:ascii="Times New Roman" w:eastAsia="SimSun" w:hAnsi="Times New Roman" w:cs="Times New Roman"/>
          <w:kern w:val="3"/>
          <w:sz w:val="24"/>
          <w:szCs w:val="24"/>
          <w:lang w:eastAsia="zh-CN" w:bidi="hi-IN"/>
        </w:rPr>
      </w:pPr>
      <w:r w:rsidRPr="007C102B">
        <w:rPr>
          <w:rFonts w:ascii="Times New Roman" w:eastAsia="SimSun" w:hAnsi="Times New Roman" w:cs="Times New Roman"/>
          <w:kern w:val="3"/>
          <w:sz w:val="24"/>
          <w:szCs w:val="24"/>
          <w:lang w:eastAsia="zh-CN" w:bidi="hi-IN"/>
        </w:rPr>
        <w:t>Komisja nie wnosi uwag.</w:t>
      </w:r>
    </w:p>
    <w:p w14:paraId="44C1FE6F" w14:textId="77777777" w:rsidR="007C102B" w:rsidRPr="007C102B" w:rsidRDefault="007C102B" w:rsidP="007C102B">
      <w:pPr>
        <w:suppressAutoHyphens/>
        <w:autoSpaceDN w:val="0"/>
        <w:spacing w:after="0" w:line="240" w:lineRule="auto"/>
        <w:jc w:val="both"/>
        <w:rPr>
          <w:rFonts w:ascii="Times New Roman" w:eastAsia="SimSun" w:hAnsi="Times New Roman" w:cs="Times New Roman"/>
          <w:kern w:val="3"/>
          <w:sz w:val="24"/>
          <w:szCs w:val="24"/>
          <w:lang w:eastAsia="zh-CN" w:bidi="hi-IN"/>
        </w:rPr>
      </w:pPr>
    </w:p>
    <w:p w14:paraId="6B44BC01" w14:textId="77777777" w:rsidR="007C102B" w:rsidRPr="007C102B" w:rsidRDefault="007C102B" w:rsidP="007C102B">
      <w:pPr>
        <w:suppressAutoHyphens/>
        <w:autoSpaceDN w:val="0"/>
        <w:spacing w:after="0" w:line="240" w:lineRule="auto"/>
        <w:jc w:val="both"/>
        <w:rPr>
          <w:rFonts w:ascii="Times New Roman" w:eastAsia="SimSun" w:hAnsi="Times New Roman" w:cs="Times New Roman"/>
          <w:kern w:val="3"/>
          <w:sz w:val="24"/>
          <w:szCs w:val="24"/>
          <w:lang w:eastAsia="zh-CN" w:bidi="hi-IN"/>
        </w:rPr>
      </w:pPr>
    </w:p>
    <w:p w14:paraId="46ED5964" w14:textId="77777777" w:rsidR="007C102B" w:rsidRPr="007C102B" w:rsidRDefault="007C102B" w:rsidP="007C102B">
      <w:pPr>
        <w:autoSpaceDN w:val="0"/>
        <w:spacing w:after="0" w:line="240" w:lineRule="auto"/>
        <w:rPr>
          <w:rFonts w:ascii="Times New Roman" w:eastAsia="Calibri" w:hAnsi="Times New Roman" w:cs="Times New Roman"/>
        </w:rPr>
      </w:pPr>
      <w:r w:rsidRPr="007C102B">
        <w:rPr>
          <w:rFonts w:ascii="Times New Roman" w:eastAsia="Calibri" w:hAnsi="Times New Roman" w:cs="Times New Roman"/>
        </w:rPr>
        <w:t xml:space="preserve">Na tym protokół zakończono.  </w:t>
      </w:r>
    </w:p>
    <w:p w14:paraId="1A8B21E1" w14:textId="77777777" w:rsidR="007C102B" w:rsidRPr="007C102B" w:rsidRDefault="007C102B" w:rsidP="007C102B">
      <w:pPr>
        <w:autoSpaceDN w:val="0"/>
        <w:spacing w:after="0" w:line="240" w:lineRule="auto"/>
        <w:rPr>
          <w:rFonts w:ascii="Times New Roman" w:eastAsia="Calibri" w:hAnsi="Times New Roman" w:cs="Times New Roman"/>
        </w:rPr>
      </w:pPr>
    </w:p>
    <w:p w14:paraId="669F7254" w14:textId="77777777" w:rsidR="007C102B" w:rsidRPr="007C102B" w:rsidRDefault="007C102B" w:rsidP="007C102B">
      <w:pPr>
        <w:autoSpaceDN w:val="0"/>
        <w:spacing w:after="0" w:line="240" w:lineRule="auto"/>
        <w:rPr>
          <w:rFonts w:ascii="Times New Roman" w:eastAsia="Calibri" w:hAnsi="Times New Roman" w:cs="Times New Roman"/>
        </w:rPr>
      </w:pPr>
    </w:p>
    <w:p w14:paraId="0DF1E632" w14:textId="77777777" w:rsidR="007C102B" w:rsidRPr="007C102B" w:rsidRDefault="007C102B" w:rsidP="007C102B">
      <w:pPr>
        <w:autoSpaceDN w:val="0"/>
        <w:spacing w:after="0" w:line="240" w:lineRule="auto"/>
        <w:rPr>
          <w:rFonts w:ascii="Times New Roman" w:eastAsia="Calibri" w:hAnsi="Times New Roman" w:cs="Times New Roman"/>
        </w:rPr>
      </w:pPr>
    </w:p>
    <w:p w14:paraId="1418D24D" w14:textId="77777777" w:rsidR="007C102B" w:rsidRPr="007C102B" w:rsidRDefault="007C102B" w:rsidP="007C102B">
      <w:pPr>
        <w:autoSpaceDN w:val="0"/>
        <w:spacing w:after="0" w:line="240" w:lineRule="auto"/>
        <w:rPr>
          <w:rFonts w:ascii="Times New Roman" w:eastAsia="Calibri" w:hAnsi="Times New Roman" w:cs="Times New Roman"/>
        </w:rPr>
      </w:pPr>
      <w:r w:rsidRPr="007C102B">
        <w:rPr>
          <w:rFonts w:ascii="Times New Roman" w:eastAsia="Calibri" w:hAnsi="Times New Roman" w:cs="Times New Roman"/>
        </w:rPr>
        <w:t xml:space="preserve">                                       </w:t>
      </w:r>
    </w:p>
    <w:p w14:paraId="1748880D" w14:textId="77777777" w:rsidR="007C102B" w:rsidRPr="007C102B" w:rsidRDefault="007C102B" w:rsidP="007C102B">
      <w:pPr>
        <w:autoSpaceDN w:val="0"/>
        <w:spacing w:after="0" w:line="240" w:lineRule="auto"/>
        <w:jc w:val="both"/>
        <w:rPr>
          <w:rFonts w:ascii="Times New Roman" w:eastAsia="Calibri" w:hAnsi="Times New Roman" w:cs="Times New Roman"/>
        </w:rPr>
      </w:pPr>
      <w:r w:rsidRPr="007C102B">
        <w:rPr>
          <w:rFonts w:ascii="Times New Roman" w:eastAsia="Calibri" w:hAnsi="Times New Roman" w:cs="Times New Roman"/>
        </w:rPr>
        <w:t>Burmistrz Kruszwicy                                                               Komisja Rewizyjna:</w:t>
      </w:r>
    </w:p>
    <w:p w14:paraId="5498176A" w14:textId="77777777" w:rsidR="007C102B" w:rsidRPr="007C102B" w:rsidRDefault="007C102B" w:rsidP="007C102B">
      <w:pPr>
        <w:autoSpaceDN w:val="0"/>
        <w:spacing w:after="0" w:line="240" w:lineRule="auto"/>
        <w:jc w:val="both"/>
        <w:rPr>
          <w:rFonts w:ascii="Times New Roman" w:eastAsia="Calibri" w:hAnsi="Times New Roman" w:cs="Times New Roman"/>
        </w:rPr>
      </w:pPr>
    </w:p>
    <w:p w14:paraId="69C71C4A" w14:textId="77777777" w:rsidR="007C102B" w:rsidRPr="007C102B" w:rsidRDefault="007C102B" w:rsidP="007C102B">
      <w:pPr>
        <w:autoSpaceDN w:val="0"/>
        <w:spacing w:after="0" w:line="240" w:lineRule="auto"/>
        <w:jc w:val="both"/>
        <w:rPr>
          <w:rFonts w:ascii="Times New Roman" w:eastAsia="Calibri" w:hAnsi="Times New Roman" w:cs="Times New Roman"/>
        </w:rPr>
      </w:pPr>
      <w:r w:rsidRPr="007C102B">
        <w:rPr>
          <w:rFonts w:ascii="Times New Roman" w:eastAsia="Calibri" w:hAnsi="Times New Roman" w:cs="Times New Roman"/>
        </w:rPr>
        <w:t>……………………                                                               ……………………..</w:t>
      </w:r>
    </w:p>
    <w:p w14:paraId="16953A79" w14:textId="77777777" w:rsidR="007C102B" w:rsidRPr="007C102B" w:rsidRDefault="007C102B" w:rsidP="007C102B">
      <w:pPr>
        <w:autoSpaceDN w:val="0"/>
        <w:spacing w:after="0" w:line="240" w:lineRule="auto"/>
        <w:jc w:val="both"/>
        <w:rPr>
          <w:rFonts w:ascii="Times New Roman" w:eastAsia="Calibri" w:hAnsi="Times New Roman" w:cs="Times New Roman"/>
        </w:rPr>
      </w:pPr>
      <w:r w:rsidRPr="007C102B">
        <w:rPr>
          <w:rFonts w:ascii="Times New Roman" w:eastAsia="Calibri" w:hAnsi="Times New Roman" w:cs="Times New Roman"/>
        </w:rPr>
        <w:t xml:space="preserve"> Burmistrz Kruszwicy                                                              Jarosław Kaczmarek</w:t>
      </w:r>
    </w:p>
    <w:p w14:paraId="75F0E389" w14:textId="77777777" w:rsidR="007C102B" w:rsidRPr="007C102B" w:rsidRDefault="007C102B" w:rsidP="007C102B">
      <w:pPr>
        <w:autoSpaceDN w:val="0"/>
        <w:spacing w:after="0" w:line="240" w:lineRule="auto"/>
        <w:jc w:val="both"/>
        <w:rPr>
          <w:rFonts w:ascii="Times New Roman" w:eastAsia="Calibri" w:hAnsi="Times New Roman" w:cs="Times New Roman"/>
        </w:rPr>
      </w:pPr>
      <w:r w:rsidRPr="007C102B">
        <w:rPr>
          <w:rFonts w:ascii="Times New Roman" w:eastAsia="Calibri" w:hAnsi="Times New Roman" w:cs="Times New Roman"/>
        </w:rPr>
        <w:t xml:space="preserve">                                                                                               </w:t>
      </w:r>
    </w:p>
    <w:p w14:paraId="3555E5B9" w14:textId="77777777" w:rsidR="007C102B" w:rsidRPr="007C102B" w:rsidRDefault="007C102B" w:rsidP="007C102B">
      <w:pPr>
        <w:autoSpaceDN w:val="0"/>
        <w:spacing w:after="0" w:line="240" w:lineRule="auto"/>
        <w:jc w:val="both"/>
        <w:rPr>
          <w:rFonts w:ascii="Times New Roman" w:eastAsia="Calibri" w:hAnsi="Times New Roman" w:cs="Times New Roman"/>
        </w:rPr>
      </w:pPr>
      <w:r w:rsidRPr="007C102B">
        <w:rPr>
          <w:rFonts w:ascii="Times New Roman" w:eastAsia="Calibri" w:hAnsi="Times New Roman" w:cs="Times New Roman"/>
        </w:rPr>
        <w:t xml:space="preserve">                                                                                               …………………….</w:t>
      </w:r>
    </w:p>
    <w:p w14:paraId="3B5AB3DD" w14:textId="77777777" w:rsidR="007C102B" w:rsidRPr="007C102B" w:rsidRDefault="007C102B" w:rsidP="007C102B">
      <w:pPr>
        <w:autoSpaceDN w:val="0"/>
        <w:spacing w:after="0" w:line="240" w:lineRule="auto"/>
        <w:jc w:val="both"/>
        <w:rPr>
          <w:rFonts w:ascii="Times New Roman" w:eastAsia="Calibri" w:hAnsi="Times New Roman" w:cs="Times New Roman"/>
        </w:rPr>
      </w:pPr>
      <w:r w:rsidRPr="007C102B">
        <w:rPr>
          <w:rFonts w:ascii="Times New Roman" w:eastAsia="Calibri" w:hAnsi="Times New Roman" w:cs="Times New Roman"/>
        </w:rPr>
        <w:t xml:space="preserve">                                                                                                  Teresa Tenerowicz</w:t>
      </w:r>
    </w:p>
    <w:p w14:paraId="21B2EDF8" w14:textId="77777777" w:rsidR="007C102B" w:rsidRPr="007C102B" w:rsidRDefault="007C102B" w:rsidP="007C102B">
      <w:pPr>
        <w:autoSpaceDN w:val="0"/>
        <w:spacing w:after="0" w:line="240" w:lineRule="auto"/>
        <w:jc w:val="both"/>
        <w:rPr>
          <w:rFonts w:ascii="Times New Roman" w:eastAsia="Calibri" w:hAnsi="Times New Roman" w:cs="Times New Roman"/>
        </w:rPr>
      </w:pPr>
    </w:p>
    <w:p w14:paraId="685FFDE9" w14:textId="77777777" w:rsidR="007C102B" w:rsidRPr="007C102B" w:rsidRDefault="007C102B" w:rsidP="007C102B">
      <w:pPr>
        <w:autoSpaceDN w:val="0"/>
        <w:spacing w:after="0" w:line="240" w:lineRule="auto"/>
        <w:jc w:val="both"/>
        <w:rPr>
          <w:rFonts w:ascii="Times New Roman" w:eastAsia="Calibri" w:hAnsi="Times New Roman" w:cs="Times New Roman"/>
        </w:rPr>
      </w:pPr>
      <w:r w:rsidRPr="007C102B">
        <w:rPr>
          <w:rFonts w:ascii="Times New Roman" w:eastAsia="Calibri" w:hAnsi="Times New Roman" w:cs="Times New Roman"/>
        </w:rPr>
        <w:tab/>
      </w:r>
      <w:r w:rsidRPr="007C102B">
        <w:rPr>
          <w:rFonts w:ascii="Times New Roman" w:eastAsia="Calibri" w:hAnsi="Times New Roman" w:cs="Times New Roman"/>
        </w:rPr>
        <w:tab/>
      </w:r>
      <w:r w:rsidRPr="007C102B">
        <w:rPr>
          <w:rFonts w:ascii="Times New Roman" w:eastAsia="Calibri" w:hAnsi="Times New Roman" w:cs="Times New Roman"/>
        </w:rPr>
        <w:tab/>
      </w:r>
      <w:r w:rsidRPr="007C102B">
        <w:rPr>
          <w:rFonts w:ascii="Times New Roman" w:eastAsia="Calibri" w:hAnsi="Times New Roman" w:cs="Times New Roman"/>
        </w:rPr>
        <w:tab/>
      </w:r>
      <w:r w:rsidRPr="007C102B">
        <w:rPr>
          <w:rFonts w:ascii="Times New Roman" w:eastAsia="Calibri" w:hAnsi="Times New Roman" w:cs="Times New Roman"/>
        </w:rPr>
        <w:tab/>
      </w:r>
      <w:r w:rsidRPr="007C102B">
        <w:rPr>
          <w:rFonts w:ascii="Times New Roman" w:eastAsia="Calibri" w:hAnsi="Times New Roman" w:cs="Times New Roman"/>
        </w:rPr>
        <w:tab/>
      </w:r>
      <w:r w:rsidRPr="007C102B">
        <w:rPr>
          <w:rFonts w:ascii="Times New Roman" w:eastAsia="Calibri" w:hAnsi="Times New Roman" w:cs="Times New Roman"/>
        </w:rPr>
        <w:tab/>
        <w:t xml:space="preserve">      …………………….</w:t>
      </w:r>
    </w:p>
    <w:p w14:paraId="459CC409" w14:textId="77777777" w:rsidR="007C102B" w:rsidRPr="007C102B" w:rsidRDefault="007C102B" w:rsidP="007C102B">
      <w:pPr>
        <w:autoSpaceDN w:val="0"/>
        <w:spacing w:after="0" w:line="240" w:lineRule="auto"/>
        <w:jc w:val="both"/>
        <w:rPr>
          <w:rFonts w:ascii="Times New Roman" w:eastAsia="Calibri" w:hAnsi="Times New Roman" w:cs="Times New Roman"/>
        </w:rPr>
      </w:pPr>
      <w:r w:rsidRPr="007C102B">
        <w:rPr>
          <w:rFonts w:ascii="Times New Roman" w:eastAsia="Calibri" w:hAnsi="Times New Roman" w:cs="Times New Roman"/>
        </w:rPr>
        <w:t xml:space="preserve">                                                                                                  Tomasz Łożyński</w:t>
      </w:r>
    </w:p>
    <w:p w14:paraId="2A1978CB" w14:textId="77777777" w:rsidR="007C102B" w:rsidRPr="007C102B" w:rsidRDefault="007C102B" w:rsidP="007C102B">
      <w:pPr>
        <w:suppressAutoHyphens/>
        <w:autoSpaceDN w:val="0"/>
        <w:spacing w:after="0" w:line="240" w:lineRule="auto"/>
        <w:jc w:val="both"/>
        <w:rPr>
          <w:rFonts w:ascii="Times New Roman" w:eastAsia="SimSun" w:hAnsi="Times New Roman" w:cs="Times New Roman"/>
          <w:kern w:val="3"/>
          <w:sz w:val="24"/>
          <w:szCs w:val="24"/>
          <w:lang w:eastAsia="zh-CN" w:bidi="hi-IN"/>
        </w:rPr>
      </w:pPr>
    </w:p>
    <w:p w14:paraId="2E3BD053" w14:textId="77777777" w:rsidR="007C102B" w:rsidRPr="007C102B" w:rsidRDefault="007C102B" w:rsidP="007C102B">
      <w:pPr>
        <w:suppressAutoHyphens/>
        <w:autoSpaceDN w:val="0"/>
        <w:spacing w:after="0" w:line="240" w:lineRule="auto"/>
        <w:rPr>
          <w:rFonts w:ascii="Times New Roman" w:eastAsia="Times New Roman" w:hAnsi="Times New Roman" w:cs="Times New Roman"/>
          <w:kern w:val="3"/>
          <w:sz w:val="24"/>
          <w:szCs w:val="24"/>
          <w:lang w:eastAsia="pl-PL" w:bidi="hi-IN"/>
        </w:rPr>
      </w:pPr>
    </w:p>
    <w:p w14:paraId="47B3CC0E" w14:textId="77777777" w:rsidR="007C102B" w:rsidRPr="007C102B" w:rsidRDefault="007C102B" w:rsidP="007C102B">
      <w:pPr>
        <w:suppressAutoHyphens/>
        <w:autoSpaceDN w:val="0"/>
        <w:spacing w:after="0" w:line="240" w:lineRule="auto"/>
        <w:rPr>
          <w:rFonts w:ascii="Times New Roman" w:eastAsia="Calibri" w:hAnsi="Times New Roman" w:cs="Times New Roman"/>
          <w:kern w:val="3"/>
          <w:sz w:val="24"/>
          <w:szCs w:val="24"/>
        </w:rPr>
      </w:pPr>
      <w:r w:rsidRPr="007C102B">
        <w:rPr>
          <w:rFonts w:ascii="Times New Roman" w:eastAsia="Calibri" w:hAnsi="Times New Roman" w:cs="Times New Roman"/>
          <w:kern w:val="3"/>
          <w:sz w:val="24"/>
          <w:szCs w:val="24"/>
        </w:rPr>
        <w:br/>
      </w:r>
    </w:p>
    <w:p w14:paraId="57A80F00" w14:textId="77777777" w:rsidR="007C102B" w:rsidRPr="007C102B" w:rsidRDefault="007C102B" w:rsidP="007C102B">
      <w:pPr>
        <w:suppressAutoHyphens/>
        <w:autoSpaceDN w:val="0"/>
        <w:spacing w:after="0" w:line="240" w:lineRule="auto"/>
        <w:rPr>
          <w:rFonts w:ascii="Times New Roman" w:eastAsia="Calibri" w:hAnsi="Times New Roman" w:cs="Times New Roman"/>
          <w:color w:val="FF0000"/>
          <w:kern w:val="3"/>
          <w:sz w:val="24"/>
          <w:szCs w:val="24"/>
        </w:rPr>
      </w:pPr>
    </w:p>
    <w:p w14:paraId="65544BA3" w14:textId="77777777" w:rsidR="007C102B" w:rsidRPr="007C102B" w:rsidRDefault="007C102B" w:rsidP="007C102B">
      <w:pPr>
        <w:suppressAutoHyphens/>
        <w:autoSpaceDN w:val="0"/>
        <w:spacing w:after="0" w:line="240" w:lineRule="auto"/>
        <w:rPr>
          <w:rFonts w:ascii="Times New Roman" w:eastAsia="Calibri" w:hAnsi="Times New Roman" w:cs="Times New Roman"/>
          <w:color w:val="FF0000"/>
          <w:kern w:val="3"/>
          <w:sz w:val="24"/>
          <w:szCs w:val="24"/>
        </w:rPr>
      </w:pPr>
    </w:p>
    <w:p w14:paraId="0FF39DE5" w14:textId="77777777" w:rsidR="007C102B" w:rsidRDefault="007C102B" w:rsidP="0094053D">
      <w:pPr>
        <w:pStyle w:val="Standard"/>
        <w:spacing w:after="0" w:line="240" w:lineRule="auto"/>
        <w:rPr>
          <w:rFonts w:eastAsia="Times New Roman" w:cs="Times New Roman"/>
          <w:lang w:eastAsia="pl-PL"/>
        </w:rPr>
      </w:pPr>
    </w:p>
    <w:p w14:paraId="6DE4B463" w14:textId="77777777" w:rsidR="0094053D" w:rsidRDefault="0094053D" w:rsidP="0094053D">
      <w:pPr>
        <w:pStyle w:val="Standard"/>
        <w:spacing w:after="0" w:line="240" w:lineRule="auto"/>
        <w:rPr>
          <w:rFonts w:eastAsia="Times New Roman"/>
          <w:b/>
          <w:bCs/>
          <w:lang w:eastAsia="pl-PL"/>
        </w:rPr>
      </w:pPr>
    </w:p>
    <w:p w14:paraId="69E424FA" w14:textId="77777777" w:rsidR="00D0504E" w:rsidRDefault="00D0504E"/>
    <w:sectPr w:rsidR="00D0504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8D7"/>
    <w:rsid w:val="006A68D7"/>
    <w:rsid w:val="007C102B"/>
    <w:rsid w:val="0094053D"/>
    <w:rsid w:val="00A80392"/>
    <w:rsid w:val="00D050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92675"/>
  <w15:chartTrackingRefBased/>
  <w15:docId w15:val="{0CD7C77E-26DB-4E63-B7C5-7581B4E10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4053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94053D"/>
    <w:pPr>
      <w:suppressAutoHyphens/>
      <w:autoSpaceDN w:val="0"/>
      <w:spacing w:line="256" w:lineRule="auto"/>
    </w:pPr>
    <w:rPr>
      <w:rFonts w:ascii="Times New Roman" w:eastAsia="SimSun" w:hAnsi="Times New Roman"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9951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Pages>
  <Words>1208</Words>
  <Characters>7250</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Grażyna Kowalska</dc:creator>
  <cp:keywords/>
  <dc:description/>
  <cp:lastModifiedBy>Grażyna Kowalska</cp:lastModifiedBy>
  <cp:revision>3</cp:revision>
  <cp:lastPrinted>2020-02-24T07:55:00Z</cp:lastPrinted>
  <dcterms:created xsi:type="dcterms:W3CDTF">2020-02-24T07:43:00Z</dcterms:created>
  <dcterms:modified xsi:type="dcterms:W3CDTF">2020-02-24T08:47:00Z</dcterms:modified>
</cp:coreProperties>
</file>