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5BA" w:rsidRPr="00D565BA" w:rsidRDefault="00D565BA" w:rsidP="00D565BA">
      <w:pPr>
        <w:jc w:val="center"/>
        <w:rPr>
          <w:b/>
          <w:sz w:val="24"/>
          <w:szCs w:val="24"/>
        </w:rPr>
      </w:pPr>
      <w:r w:rsidRPr="00D565BA">
        <w:rPr>
          <w:b/>
          <w:sz w:val="24"/>
          <w:szCs w:val="24"/>
        </w:rPr>
        <w:t>Protokół</w:t>
      </w:r>
    </w:p>
    <w:p w:rsidR="00D565BA" w:rsidRPr="00D565BA" w:rsidRDefault="00D565BA" w:rsidP="00D565BA">
      <w:pPr>
        <w:jc w:val="center"/>
        <w:rPr>
          <w:b/>
          <w:sz w:val="24"/>
          <w:szCs w:val="24"/>
        </w:rPr>
      </w:pPr>
      <w:r w:rsidRPr="00D565BA">
        <w:rPr>
          <w:b/>
          <w:sz w:val="24"/>
          <w:szCs w:val="24"/>
        </w:rPr>
        <w:t>z posiedzenia Komisji Rolnictwa, Gospodarki Komunalnej. Ochrony Środowiska, Spraw Społecznych i Zdrowia</w:t>
      </w:r>
    </w:p>
    <w:p w:rsidR="00D565BA" w:rsidRDefault="00565445" w:rsidP="00D565B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odbytego 12 stycznia 2017</w:t>
      </w:r>
      <w:r w:rsidR="00D565BA" w:rsidRPr="00D565BA">
        <w:rPr>
          <w:b/>
          <w:sz w:val="24"/>
          <w:szCs w:val="24"/>
        </w:rPr>
        <w:t>r.</w:t>
      </w:r>
    </w:p>
    <w:p w:rsidR="00D565BA" w:rsidRPr="00D565BA" w:rsidRDefault="00D565BA" w:rsidP="00D565BA">
      <w:pPr>
        <w:jc w:val="center"/>
        <w:rPr>
          <w:b/>
          <w:sz w:val="24"/>
          <w:szCs w:val="24"/>
        </w:rPr>
      </w:pPr>
    </w:p>
    <w:p w:rsidR="00D565BA" w:rsidRPr="00D565BA" w:rsidRDefault="00D565BA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Posiedzenie otworzył Przewodniczący komisji p. Stefan Lewandowski.</w:t>
      </w:r>
    </w:p>
    <w:p w:rsidR="00D565BA" w:rsidRPr="00D565BA" w:rsidRDefault="00D565BA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Kierownik Referatu Ochrony Środowiska </w:t>
      </w:r>
      <w:r w:rsidR="00565445">
        <w:rPr>
          <w:sz w:val="24"/>
          <w:szCs w:val="24"/>
        </w:rPr>
        <w:t>Urzędu</w:t>
      </w:r>
      <w:r>
        <w:rPr>
          <w:sz w:val="24"/>
          <w:szCs w:val="24"/>
        </w:rPr>
        <w:t xml:space="preserve"> Miejskiego p. Anna Malenda powiedziała, że g</w:t>
      </w:r>
      <w:r w:rsidRPr="00D565BA">
        <w:rPr>
          <w:sz w:val="24"/>
          <w:szCs w:val="24"/>
        </w:rPr>
        <w:t>ospodarka niskoemisyjna to gospodarka, której wzrost osiąga się w wyniku integracji wszystkich aspektów gospodarki wokół niskoemisyjnych technologii i praktyk, wydajnych rozwiązań energetycznych, czystej i odnawialnej energii i proekologicznych innowacji technologicznych.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Plan Gospodarki Niskoemisyjnej (zwany dalej PGN) jest dokumentem strategicznym, którego celem jest określenie wizji rozwoju gminy w kierunku gospodarki niskoemisyjnej, służącej zapewnieniu korzyści: ekonomicznych, społecznych i środowiskowych płynących z działań zmniejszających emisję zanieczyszczeń.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Sporządzenie Planu Gospodarki Niskoemisyjnej nie jest wymagane żadnym przepisem prawa. Potrzeba jego opracowania wynika z działalności Narodowego Funduszu Ochrony Środowiska i Gospodarki Wodnej, w szczególności z programu operacyjnego Infrastruktura i Środowiska perspektywy budżetowej 2007-2013, priorytet 9.3 – Plany Gospodarki Niskoemisyjnej. Rozwój gospodarki niskoemisyjnej jest realizacją zasady zrównoważonego rozwoju, zapisanej w Konstytucji RP w art. 5 (Dz. U. 1997 nr 78 poz. 483), stanowiącym, iż RP zapewnia ochronę środowiska, kierując się właśnie tą zasadą. Potrzeba opracowania Planu jest zgodna z polityką Polski i wynika z Założeń Narodowego Programu Rozwoju Gospodarki Niskoemisyjnej, przyjętych przez Radę Ministrów 16 sierpnia 2011 r. Program ma umożliwić Polsce odegranie czynnej roli w wyznaczaniu europejskich i światowych celów redukcji emisji gazów cieplarnianych, ma też uzasadnienie w realizacji międzynarodowych zobowiązań Polski i realizacji pakietu klimatyczno-energetycznego UE.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Kluczowym elementem PGN jest wyznaczenie celów strategicznych i szczegółowych, realizujących określoną wizję gminy. Plan zawiera strukturę działań mających przyczynić się do osiągnięcia celów znajdujących odzwierciedlenie na różnych szczeblach decyzyjnych.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W perspektywie europejskiej Plan Gospodarki Niskoemisyjnej sprzyjać powinien spełnieniu celów określonych w pakiecie klimatyczno-energetycznym do roku 2020:</w:t>
      </w:r>
    </w:p>
    <w:p w:rsidR="00D565BA" w:rsidRPr="00D565BA" w:rsidRDefault="00D565BA" w:rsidP="00D565BA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redukcji o 20 % emisji gazów cieplarnianych w stosunku do poziomu emisji z 1990 r.;</w:t>
      </w:r>
    </w:p>
    <w:p w:rsidR="00D565BA" w:rsidRPr="00D565BA" w:rsidRDefault="00D565BA" w:rsidP="00D565BA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zwiększeniu o 20 % udziału energii odnawialnej w finalnej konsumpcji energii (dla Polski wskaźnik ten został obniżony do 15 %);</w:t>
      </w:r>
    </w:p>
    <w:p w:rsidR="00D565BA" w:rsidRPr="00D565BA" w:rsidRDefault="00D565BA" w:rsidP="00D565BA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zwiększeniu o 20 % efektywności energetycznej.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Na poziomie regionalnym, działania przewidziane w PGN zmierzać powinny do poprawy jakości powietrza. Natomiast w ujęciu lokalnym zadaniem Planu jest uporządkowanie i organizacja działań podejmowanych przez gminę sprzyjających ograniczeniu emisji CO</w:t>
      </w:r>
      <w:r w:rsidRPr="00D565BA">
        <w:rPr>
          <w:sz w:val="24"/>
          <w:szCs w:val="24"/>
          <w:vertAlign w:val="subscript"/>
        </w:rPr>
        <w:t>2</w:t>
      </w:r>
      <w:r w:rsidRPr="00D565BA">
        <w:rPr>
          <w:sz w:val="24"/>
          <w:szCs w:val="24"/>
        </w:rPr>
        <w:t xml:space="preserve"> poprzez dokonanie oceny stanu sytuacji w zakresie emisji gazów cieplarnianych. Dokument powinien wskazywać tendencje rozwojowe oraz przedsięwzięcia, które mogą zostać podjęte w przyszłości wraz ze wskazaniem źródeł ich finansowania. Przedsięwzięcia te oparte są na istniejących planach i strategiach. Dla planowanych działań zostaną wskazane mierniki osiągnięcia celów oraz plany wdrażania, monitorowania </w:t>
      </w:r>
      <w:r w:rsidRPr="00D565BA">
        <w:rPr>
          <w:sz w:val="24"/>
          <w:szCs w:val="24"/>
        </w:rPr>
        <w:lastRenderedPageBreak/>
        <w:t>i weryfikacji. Plan musi zapewniać również spójność planowanych inwestycji niskoemisyjnych z Wieloletnią Prognozą Finansową Gminy.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Podstawą opracowania Planu Gospodarki Niskoemisyjnej jest wykonanie inwentaryzacji emisji gazów cieplarnianych z obszaru gminy, opartej na jej bilansie energetycznym.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Plan Gospodarki Niskoemisyjnej jest dokumentem niezbędnym do pozyskania funduszy unijnych w latach 2014-2020 m.in. na termomodernizację budynków, wymianę wysokoemisyjnych źródeł ogrzewania czy wdrażania odnawialnych źródeł energii.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 xml:space="preserve">Celem głównym niniejszego dokumentu jest </w:t>
      </w:r>
      <w:r w:rsidRPr="00D565BA">
        <w:rPr>
          <w:b/>
          <w:sz w:val="24"/>
          <w:szCs w:val="24"/>
        </w:rPr>
        <w:t>rozwój gospodarki niskoemisyjnej przy zapewnieniu zrównoważonego rozwoju gminy.</w:t>
      </w:r>
      <w:r w:rsidRPr="00D565BA">
        <w:rPr>
          <w:sz w:val="24"/>
          <w:szCs w:val="24"/>
        </w:rPr>
        <w:t xml:space="preserve"> Przestawienie obecnie funkcjonującej gospodarki na gospodarkę niskoemisyjną wymagać będzie zaangażowania wszystkich </w:t>
      </w:r>
      <w:proofErr w:type="spellStart"/>
      <w:r w:rsidRPr="00D565BA">
        <w:rPr>
          <w:sz w:val="24"/>
          <w:szCs w:val="24"/>
        </w:rPr>
        <w:t>interesariuszy</w:t>
      </w:r>
      <w:proofErr w:type="spellEnd"/>
      <w:r w:rsidRPr="00D565BA">
        <w:rPr>
          <w:sz w:val="24"/>
          <w:szCs w:val="24"/>
        </w:rPr>
        <w:t xml:space="preserve"> tj. lokalnej administracji, mieszkańców, dostawców energii i przedsiębiorstw energetycznych, wspólnot i spółdzielni mieszkaniowych, podmiotów działających w sektorze transportu czy budownictwa. Rozwój gospodarki niskoemisyjnej przy uwzględnieniu zasad zrównoważonego rozwoju determinowany będzie przez działania polityczne, gospodarcze i społeczne. Zakłada się, że wzrostowi gospodarczemu towarzyszyć będzie zmniejszenie presji na środowisko. Wdrożenie niniejszego Planu ma ułatwić adaptację wszystkich sektorów do wymogów gospodarki niskoemisyjnej. Osiągnięcie powyższego celu będzie wymagało określenia:</w:t>
      </w:r>
    </w:p>
    <w:p w:rsidR="00D565BA" w:rsidRPr="00D565BA" w:rsidRDefault="00D565BA" w:rsidP="00D565B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obszarów redukcji emisji dwutlenku węgla,</w:t>
      </w:r>
    </w:p>
    <w:p w:rsidR="00D565BA" w:rsidRPr="00D565BA" w:rsidRDefault="00D565BA" w:rsidP="00D565B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priorytetów z tym związanych,</w:t>
      </w:r>
    </w:p>
    <w:p w:rsidR="00D565BA" w:rsidRPr="00D565BA" w:rsidRDefault="00D565BA" w:rsidP="00D565B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działań i oczekiwanych z nich efektów,</w:t>
      </w:r>
    </w:p>
    <w:p w:rsidR="00D565BA" w:rsidRPr="00D565BA" w:rsidRDefault="00D565BA" w:rsidP="00D565B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instrumentów wsparcia, które w konsekwencji przyczynią się do zmniejszenia emisji,</w:t>
      </w:r>
    </w:p>
    <w:p w:rsidR="00D565BA" w:rsidRPr="00D565BA" w:rsidRDefault="00D565BA" w:rsidP="00D565BA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punktów pośrednich w realizacji planu, pozwalających na mierzenie postępu.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 xml:space="preserve">Zakłada się, że procesom redukcyjnym towarzyszyć będą również działania ukierunkowane na poprawę efektywności nie tylko energetycznej, ale również wykorzystania zasobów. Wdrażane nowe technologie powinny skutkować ograniczeniem </w:t>
      </w:r>
      <w:proofErr w:type="spellStart"/>
      <w:r w:rsidRPr="00D565BA">
        <w:rPr>
          <w:sz w:val="24"/>
          <w:szCs w:val="24"/>
        </w:rPr>
        <w:t>energo</w:t>
      </w:r>
      <w:proofErr w:type="spellEnd"/>
      <w:r w:rsidRPr="00D565BA">
        <w:rPr>
          <w:sz w:val="24"/>
          <w:szCs w:val="24"/>
        </w:rPr>
        <w:t xml:space="preserve">-, </w:t>
      </w:r>
      <w:proofErr w:type="spellStart"/>
      <w:r w:rsidRPr="00D565BA">
        <w:rPr>
          <w:sz w:val="24"/>
          <w:szCs w:val="24"/>
        </w:rPr>
        <w:t>materiało</w:t>
      </w:r>
      <w:proofErr w:type="spellEnd"/>
      <w:r w:rsidRPr="00D565BA">
        <w:rPr>
          <w:sz w:val="24"/>
          <w:szCs w:val="24"/>
        </w:rPr>
        <w:t xml:space="preserve">- i wodochłonności. 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Jednocześnie należy podkreślić, że rozwój gospodarki niskoemisyjnej musi odbywać się przy zapewnieniu trwałego zrównoważonego rozwoju gospodarczego rozumianego jako zrównoważenie celów ekonomicznych, społecznych i ochrony środowiska.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Osiągnięciu celu głównego sprzyjać będzie realizacja następujących celów szczegółowych: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sz w:val="24"/>
          <w:szCs w:val="24"/>
        </w:rPr>
        <w:t>Rozwój niskoemisyjnych źródeł energii</w:t>
      </w:r>
      <w:r w:rsidRPr="00D565BA">
        <w:rPr>
          <w:sz w:val="24"/>
          <w:szCs w:val="24"/>
        </w:rPr>
        <w:t xml:space="preserve"> - wdrażanie postanowień wynikających z pakietu klimatyczno-energetycznego wymusza dywersyfikację źródeł wytwarzania energii. Rozwój niskoemisyjnych źródeł energii jest niezbędny dla zmiany struktury wytwarzania energii elektrycznej, a także ciepła i chłodu.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sz w:val="24"/>
          <w:szCs w:val="24"/>
        </w:rPr>
        <w:t>Poprawa efektywności energetycznej</w:t>
      </w:r>
      <w:r w:rsidRPr="00D565BA">
        <w:rPr>
          <w:sz w:val="24"/>
          <w:szCs w:val="24"/>
        </w:rPr>
        <w:t xml:space="preserve"> - poprawa efektywności energetycznej to szczególnie efektywny sposób ograniczania emisji gazów cieplarnianych. Dotyczyć ona będzie praktycznie wszystkich obszarów gospodarczych począwszy od przedsiębiorstw energetycznych a skończywszy na gospodarstwach domowych. Szczególnie duże możliwości dotyczą budownictwa, w tym budynków publicznych. Zakłada się, że podjęcie szerokich działań dotyczyć będzie termomodernizacji </w:t>
      </w:r>
      <w:r w:rsidRPr="00D565BA">
        <w:rPr>
          <w:sz w:val="24"/>
          <w:szCs w:val="24"/>
        </w:rPr>
        <w:lastRenderedPageBreak/>
        <w:t>istniejącej infrastruktury mieszkalnej, a także zaostrzanie standardów w stosunku do nowych budynków. Podjęte będą działania zmierzające do jak najpowszechniejszego wprowadzania budynków pasywnych.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sz w:val="24"/>
          <w:szCs w:val="24"/>
        </w:rPr>
        <w:t xml:space="preserve">Wymiana </w:t>
      </w:r>
      <w:r w:rsidRPr="00D565BA">
        <w:rPr>
          <w:b/>
          <w:bCs/>
          <w:sz w:val="24"/>
          <w:szCs w:val="24"/>
        </w:rPr>
        <w:t xml:space="preserve">przestarzałych, niskowydajnych i </w:t>
      </w:r>
      <w:proofErr w:type="spellStart"/>
      <w:r w:rsidRPr="00D565BA">
        <w:rPr>
          <w:b/>
          <w:bCs/>
          <w:sz w:val="24"/>
          <w:szCs w:val="24"/>
        </w:rPr>
        <w:t>nieekologicznych</w:t>
      </w:r>
      <w:proofErr w:type="spellEnd"/>
      <w:r w:rsidRPr="00D565BA">
        <w:rPr>
          <w:b/>
          <w:bCs/>
          <w:sz w:val="24"/>
          <w:szCs w:val="24"/>
        </w:rPr>
        <w:t xml:space="preserve"> źródeł ciepła </w:t>
      </w:r>
      <w:r w:rsidRPr="00D565BA">
        <w:rPr>
          <w:b/>
          <w:sz w:val="24"/>
          <w:szCs w:val="24"/>
        </w:rPr>
        <w:t xml:space="preserve">– </w:t>
      </w:r>
      <w:r w:rsidRPr="00D565BA">
        <w:rPr>
          <w:sz w:val="24"/>
          <w:szCs w:val="24"/>
        </w:rPr>
        <w:t>realizacja programów mających na celu ograniczenie niskiej emisji, w zakresie których wymienia się stare kotły węglowe o niskiej sprawności energetycznej i wysokiej emisji zanieczyszczeń, jest uznanym działaniem proekologicznym. Nie tylko powoduje ograniczenie emisji toksycznych spalin, generuje realne oszczędności, ale tworzy dla samorządu pozytywny efekt wizerunkowy i korzyści dodatkowe, choćby w postaci zamówień dla lokalnych firm prywatnych na montaż nowych urządzeń i tworzonych przy tej okazji nowych miejsc pracy.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sz w:val="24"/>
          <w:szCs w:val="24"/>
        </w:rPr>
        <w:t>Umożliwienie maksymalnego wykorzystania energii odnawialnej</w:t>
      </w:r>
      <w:r w:rsidRPr="00D565BA">
        <w:rPr>
          <w:sz w:val="24"/>
          <w:szCs w:val="24"/>
        </w:rPr>
        <w:t xml:space="preserve"> - istotą maksymalnego wykorzystania energii odnawialnej jest określenie stanu aktualnego, a następnie ocena możliwości rozwojowych. Ważne jest więc podanie elementów charakterystycznych poszczególnych gałęzi energetyki odnawialnej, w tym m.in.: potencjału energetycznego, lokalizacji, możliwości rozwojowych oraz aspektów prawnych.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bCs/>
          <w:sz w:val="24"/>
          <w:szCs w:val="24"/>
        </w:rPr>
        <w:t xml:space="preserve">Rozwój generacji rozproszonej (energetyka rozproszona) na terenie gminy </w:t>
      </w:r>
      <w:r w:rsidRPr="00D565BA">
        <w:rPr>
          <w:sz w:val="24"/>
          <w:szCs w:val="24"/>
        </w:rPr>
        <w:t xml:space="preserve">– czyli wytwarzanie energii przez małe jednostki lub obiekty wytwórcze, przyłączone bezpośrednio do sieci rozdzielczych lub zlokalizowane w sieci elektroenergetycznej odbiorcy (za urządzeniami kontrolno-pomiarowymi), zwykle produkujące energię elektryczną ze źródeł energii odnawialnych lub niekonwencjonalnych, często w skojarzeniu z wytwarzaniem ciepła </w:t>
      </w:r>
      <w:proofErr w:type="spellStart"/>
      <w:r w:rsidRPr="00D565BA">
        <w:rPr>
          <w:sz w:val="24"/>
          <w:szCs w:val="24"/>
        </w:rPr>
        <w:t>(kogeneracj</w:t>
      </w:r>
      <w:proofErr w:type="spellEnd"/>
      <w:r w:rsidRPr="00D565BA">
        <w:rPr>
          <w:sz w:val="24"/>
          <w:szCs w:val="24"/>
        </w:rPr>
        <w:t xml:space="preserve">a rozproszona). Do sieci generacji rozproszonej należeć mogą np. </w:t>
      </w:r>
      <w:proofErr w:type="spellStart"/>
      <w:r w:rsidRPr="00D565BA">
        <w:rPr>
          <w:sz w:val="24"/>
          <w:szCs w:val="24"/>
        </w:rPr>
        <w:t>prosumenci</w:t>
      </w:r>
      <w:proofErr w:type="spellEnd"/>
      <w:r w:rsidRPr="00D565BA">
        <w:rPr>
          <w:sz w:val="24"/>
          <w:szCs w:val="24"/>
        </w:rPr>
        <w:t>, kooperatywy energetyczne czy elektrownie komunalne. Cechy energetyki rozproszonej:</w:t>
      </w:r>
    </w:p>
    <w:p w:rsidR="00D565BA" w:rsidRPr="00D565BA" w:rsidRDefault="00D565BA" w:rsidP="00D565BA">
      <w:pPr>
        <w:numPr>
          <w:ilvl w:val="0"/>
          <w:numId w:val="5"/>
        </w:numPr>
        <w:tabs>
          <w:tab w:val="clear" w:pos="720"/>
        </w:tabs>
        <w:spacing w:line="276" w:lineRule="auto"/>
        <w:ind w:left="1134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moc znamionowa jednostek znacząco mniejsza od jednostek wytwórczych energetyki zawodowej,</w:t>
      </w:r>
    </w:p>
    <w:p w:rsidR="00D565BA" w:rsidRPr="00D565BA" w:rsidRDefault="00D565BA" w:rsidP="00D565BA">
      <w:pPr>
        <w:numPr>
          <w:ilvl w:val="0"/>
          <w:numId w:val="5"/>
        </w:numPr>
        <w:tabs>
          <w:tab w:val="clear" w:pos="720"/>
        </w:tabs>
        <w:spacing w:line="276" w:lineRule="auto"/>
        <w:ind w:left="1134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w znacznej części jest własnością prywatną, przy czym znaczna grupa osób fizycznych lub prawnych będących właścicielami obiektów generacji rozproszonej nie zajmowała się dotychczas komercyjną działalnością w energetyce,</w:t>
      </w:r>
    </w:p>
    <w:p w:rsidR="00D565BA" w:rsidRPr="00D565BA" w:rsidRDefault="00D565BA" w:rsidP="00D565BA">
      <w:pPr>
        <w:numPr>
          <w:ilvl w:val="0"/>
          <w:numId w:val="5"/>
        </w:numPr>
        <w:tabs>
          <w:tab w:val="clear" w:pos="720"/>
        </w:tabs>
        <w:spacing w:line="276" w:lineRule="auto"/>
        <w:ind w:left="1134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jednostki generacji rozproszonej nie podlegają centralnemu dysponowaniu,</w:t>
      </w:r>
    </w:p>
    <w:p w:rsidR="00D565BA" w:rsidRPr="00D565BA" w:rsidRDefault="00D565BA" w:rsidP="00D565BA">
      <w:pPr>
        <w:numPr>
          <w:ilvl w:val="0"/>
          <w:numId w:val="5"/>
        </w:numPr>
        <w:tabs>
          <w:tab w:val="clear" w:pos="720"/>
        </w:tabs>
        <w:spacing w:line="276" w:lineRule="auto"/>
        <w:ind w:left="1134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jednostki generacji rozproszonej są przyłączone do sieci rozdzielczych średniego i niskiego napięcia,</w:t>
      </w:r>
    </w:p>
    <w:p w:rsidR="00D565BA" w:rsidRPr="00D565BA" w:rsidRDefault="00D565BA" w:rsidP="00D565BA">
      <w:pPr>
        <w:numPr>
          <w:ilvl w:val="0"/>
          <w:numId w:val="5"/>
        </w:numPr>
        <w:tabs>
          <w:tab w:val="clear" w:pos="720"/>
        </w:tabs>
        <w:spacing w:line="276" w:lineRule="auto"/>
        <w:ind w:left="1134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jednostki te nie biorą aktywnego udziału w procesach regulacji częstotliwości i napięcia.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D565BA">
        <w:rPr>
          <w:b/>
          <w:sz w:val="24"/>
          <w:szCs w:val="24"/>
        </w:rPr>
        <w:t xml:space="preserve">Poprawa jakości powietrza na terenie Gminy Kruszwica </w:t>
      </w:r>
      <w:r w:rsidRPr="00D565BA">
        <w:rPr>
          <w:sz w:val="24"/>
          <w:szCs w:val="24"/>
        </w:rPr>
        <w:t>- w niniejszym opracowaniu zawarto ocenę jakości powietrza w mieście, poprzez zwrócenie uwagi na problem emisji CO</w:t>
      </w:r>
      <w:r w:rsidRPr="00D565BA">
        <w:rPr>
          <w:sz w:val="24"/>
          <w:szCs w:val="24"/>
          <w:vertAlign w:val="subscript"/>
        </w:rPr>
        <w:t>2</w:t>
      </w:r>
      <w:r w:rsidRPr="00D565BA">
        <w:rPr>
          <w:sz w:val="24"/>
          <w:szCs w:val="24"/>
        </w:rPr>
        <w:t xml:space="preserve"> oraz określenie działań w zakresie obniżenia jej poziomu. Temat uwzględnia emisję zanieczyszczeń pochodzącą ze źródeł w obiektach mieszkalnych, usługowych oraz komunikacyjnych. Inwentaryzacja źródeł emisji oraz jej analiza umożliwia wskazanie zadań proponowanych do osiągnięcia założonych celów.</w:t>
      </w:r>
    </w:p>
    <w:p w:rsidR="00D565BA" w:rsidRPr="00D565BA" w:rsidRDefault="00D565BA" w:rsidP="00D565BA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 w:rsidRPr="00D565BA">
        <w:rPr>
          <w:b/>
          <w:sz w:val="24"/>
          <w:szCs w:val="24"/>
        </w:rPr>
        <w:t xml:space="preserve">Promocja nowych wzorców konsumpcji – </w:t>
      </w:r>
      <w:r w:rsidRPr="00D565BA">
        <w:rPr>
          <w:sz w:val="24"/>
          <w:szCs w:val="24"/>
        </w:rPr>
        <w:t xml:space="preserve">w celu zagwarantowania możliwości zaspokajania podstawowych potrzeb mieszkańców gminy niezbędna jest zmiana </w:t>
      </w:r>
      <w:r w:rsidRPr="00D565BA">
        <w:rPr>
          <w:sz w:val="24"/>
          <w:szCs w:val="24"/>
        </w:rPr>
        <w:lastRenderedPageBreak/>
        <w:t xml:space="preserve">niekorzystnych trendów konsumpcji i produkcji, w szczególności poprzez poprawę efektywności wykorzystywania zasobów środowiska (nieodnawialnych i odnawialnych), ograniczanie emisji zanieczyszczeń, a także ograniczenie konsumpcji najbardziej energochłonnych towarów i usług. Wdrażanie nowych, zrównoważonych wzorców konsumpcji musi na stałe być związane z procesem edukacyjnym już na wczesnym etapie kształcenia. Wykształcenie właściwych postaw społecznych, o charakterze </w:t>
      </w:r>
      <w:proofErr w:type="spellStart"/>
      <w:r w:rsidRPr="00D565BA">
        <w:rPr>
          <w:sz w:val="24"/>
          <w:szCs w:val="24"/>
        </w:rPr>
        <w:t>prośrodowiskowym</w:t>
      </w:r>
      <w:proofErr w:type="spellEnd"/>
      <w:r w:rsidRPr="00D565BA">
        <w:rPr>
          <w:sz w:val="24"/>
          <w:szCs w:val="24"/>
        </w:rPr>
        <w:t>, w znacznym stopniu ułatwi wdrażanie innych działań ukierunkowanych na redukcję emisji gazów cieplarnianych.</w:t>
      </w:r>
    </w:p>
    <w:p w:rsidR="00D565BA" w:rsidRPr="00D565BA" w:rsidRDefault="00D565BA" w:rsidP="00D565BA">
      <w:pPr>
        <w:spacing w:line="276" w:lineRule="auto"/>
        <w:ind w:firstLine="709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Powyższe cele szczegółowe są ze sobą ściśle powiązane i w związku z tym podjęcie działań w jednym obszarze zdefiniowanym przez jeden z celów szczegółowych automatycznie pociąga za sobą realizację pozostałych celów. W tym kontekście opracowano szczegółowy harmonogram podejmowania określonych działań niskoemisyjnych na terenie gminy. W niniejszym Planie zostały także zaproponowane i wyznaczone wskaźniki osiągania celu głównego i celów szczegółowych, uwzględniające horyzont czasowy do 2020 roku. Zakłada się, że osiągnięcie celu głównego i celów szczegółowych PGN przyniesie korzystne zmiany w gospodarce gminy. Kluczowe kierunki tych zmian dotyczyć będą m.in.:</w:t>
      </w:r>
    </w:p>
    <w:p w:rsidR="00D565BA" w:rsidRPr="00D565BA" w:rsidRDefault="00D565BA" w:rsidP="00D565BA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 xml:space="preserve">zmiany struktury wytwarzania energii m.in. dzięki większemu wykorzystaniu odnawialnych źródeł energii, </w:t>
      </w:r>
    </w:p>
    <w:p w:rsidR="00D565BA" w:rsidRPr="00D565BA" w:rsidRDefault="00D565BA" w:rsidP="00D565BA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 xml:space="preserve">poprawy efektywności energetycznej, </w:t>
      </w:r>
    </w:p>
    <w:p w:rsidR="00D565BA" w:rsidRPr="00D565BA" w:rsidRDefault="00D565BA" w:rsidP="00D565BA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usprawnienia systemu instrumentów prawnych oraz finansowych wspomagających zmianę modelu gospodarki na niskoemisyjny,</w:t>
      </w:r>
    </w:p>
    <w:p w:rsidR="00D565BA" w:rsidRPr="00D565BA" w:rsidRDefault="00D565BA" w:rsidP="00D565BA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zmiany struktury użytkowania energii w obszarze konsumpcji i produkcji dóbr,</w:t>
      </w:r>
    </w:p>
    <w:p w:rsidR="00D565BA" w:rsidRPr="00D565BA" w:rsidRDefault="00D565BA" w:rsidP="00D565BA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zmiany stanu świadomości i zachowań społeczeństwa w zakresie wykorzystania zasobów, poprzez zapewnienie wysokiej jakości edukacji ekologicznej.</w:t>
      </w:r>
    </w:p>
    <w:p w:rsidR="00D565BA" w:rsidRDefault="00D565BA" w:rsidP="00D565BA">
      <w:pPr>
        <w:spacing w:line="276" w:lineRule="auto"/>
        <w:jc w:val="both"/>
        <w:rPr>
          <w:rFonts w:ascii="Arial" w:hAnsi="Arial" w:cs="Arial"/>
          <w:color w:val="FFFFFF" w:themeColor="background1"/>
          <w:szCs w:val="22"/>
        </w:rPr>
      </w:pPr>
    </w:p>
    <w:p w:rsidR="00D565BA" w:rsidRDefault="00D565BA" w:rsidP="00D565BA">
      <w:pPr>
        <w:spacing w:line="276" w:lineRule="auto"/>
        <w:jc w:val="both"/>
        <w:rPr>
          <w:sz w:val="24"/>
          <w:szCs w:val="24"/>
        </w:rPr>
      </w:pPr>
      <w:r w:rsidRPr="00D565BA">
        <w:rPr>
          <w:sz w:val="24"/>
          <w:szCs w:val="24"/>
        </w:rPr>
        <w:t>Pani</w:t>
      </w:r>
      <w:r>
        <w:rPr>
          <w:sz w:val="24"/>
          <w:szCs w:val="24"/>
        </w:rPr>
        <w:t xml:space="preserve"> Kierownik dodała, że ludzie spalają w swoich piecach prawie wszystko nie zwracając uwagi jaką krzywdę wyrządzają sobie i innym. Jeśli chodzi np. o ogrzewanie kominkowe, to większość nie zdaje sobie sprawy, że drewno, którym pala powinno leżakować minimum 2 lata, aby spalanie nie było toksyczne.</w:t>
      </w:r>
    </w:p>
    <w:p w:rsidR="00D565BA" w:rsidRDefault="00D565BA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Pan Piotr Pułkownik dodał, że kolejnym paliwem jest węgiel, który jest często bardzo zlej jakości i do tego można również dodać ekogroszek.</w:t>
      </w:r>
    </w:p>
    <w:p w:rsidR="00D565BA" w:rsidRDefault="00D565BA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Malenda była zdania, że powinniśmy mieć urządzenia do badania stężenia pyłów. Drugim problemem, ale za to również bardzo </w:t>
      </w:r>
      <w:r w:rsidR="00DF2BAD">
        <w:rPr>
          <w:sz w:val="24"/>
          <w:szCs w:val="24"/>
        </w:rPr>
        <w:t>dużym</w:t>
      </w:r>
      <w:r>
        <w:rPr>
          <w:sz w:val="24"/>
          <w:szCs w:val="24"/>
        </w:rPr>
        <w:t xml:space="preserve"> jest transport. Jeśli chodzi o samochody, to nie mamy</w:t>
      </w:r>
      <w:r w:rsidR="00DF2BAD">
        <w:rPr>
          <w:sz w:val="24"/>
          <w:szCs w:val="24"/>
        </w:rPr>
        <w:t xml:space="preserve"> żadnych możliwości egzekwowania niższej emisji spalin. Gmina mogłaby jedynie dofinansowywać jakieś działania mające na celu ochronę środowiska i zmniejszenie emisji gazów i spalin.</w:t>
      </w:r>
    </w:p>
    <w:p w:rsidR="00DF2BAD" w:rsidRDefault="00DF2BAD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 Pułkownik był zdania, że powinniśmy każdego roku w budżecie zabezpieczać pewną pulę środków finansowych na tego typu działania oraz przygotowywać mieszkańców, aby w przyszłości korzystali z takich dofinansowań. Najpierw jednak musimy znaleźć </w:t>
      </w:r>
      <w:proofErr w:type="spellStart"/>
      <w:r>
        <w:rPr>
          <w:sz w:val="24"/>
          <w:szCs w:val="24"/>
        </w:rPr>
        <w:t>pieniadze</w:t>
      </w:r>
      <w:proofErr w:type="spellEnd"/>
      <w:r>
        <w:rPr>
          <w:sz w:val="24"/>
          <w:szCs w:val="24"/>
        </w:rPr>
        <w:t xml:space="preserve"> na takie wsparcie.</w:t>
      </w:r>
    </w:p>
    <w:p w:rsidR="00DF2BAD" w:rsidRDefault="00DF2BAD" w:rsidP="00D565BA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wypracowała wnioski, które przekazano Burmistrzowi Kruszwicy: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>1. Przeznaczyć kwotę 50 tys. zł na dofinansowanie wymiany pieców w gospodarstwach domowych ( zmniejszenie niskiej emisji) z jednoczesnym powiadomieniem społeczeństwa o takich możliwościach i zasadach ubiegania się o dofinansowanie.</w:t>
      </w:r>
    </w:p>
    <w:p w:rsidR="00DF2BAD" w:rsidRPr="00DF2BAD" w:rsidRDefault="00DF2BAD" w:rsidP="00DF2BAD">
      <w:pPr>
        <w:rPr>
          <w:sz w:val="24"/>
          <w:szCs w:val="24"/>
        </w:rPr>
      </w:pP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>2.  Poinformować mieszkańców o możliwości pozyskania środków finansowych w ramach Programu Priorytetowego EKODOM na dofinansowanie  przedsięwzięć takich jak: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 xml:space="preserve"> - zadania </w:t>
      </w:r>
      <w:proofErr w:type="spellStart"/>
      <w:r w:rsidRPr="00DF2BAD">
        <w:rPr>
          <w:sz w:val="24"/>
          <w:szCs w:val="24"/>
        </w:rPr>
        <w:t>termomodernizacyjne</w:t>
      </w:r>
      <w:proofErr w:type="spellEnd"/>
      <w:r w:rsidRPr="00DF2BAD">
        <w:rPr>
          <w:sz w:val="24"/>
          <w:szCs w:val="24"/>
        </w:rPr>
        <w:t xml:space="preserve">, montaż pomp ciepła i kolektorów słonecznych o mocy do 300kW wraz z instalacją, 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 xml:space="preserve">- montaż instalacji fotowoltaicznych o mocy do 40 </w:t>
      </w:r>
      <w:proofErr w:type="spellStart"/>
      <w:r w:rsidRPr="00DF2BAD">
        <w:rPr>
          <w:sz w:val="24"/>
          <w:szCs w:val="24"/>
        </w:rPr>
        <w:t>kW</w:t>
      </w:r>
      <w:proofErr w:type="spellEnd"/>
      <w:r w:rsidRPr="00DF2BAD">
        <w:rPr>
          <w:sz w:val="24"/>
          <w:szCs w:val="24"/>
        </w:rPr>
        <w:t xml:space="preserve">, 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 xml:space="preserve">- montaż elektrowni wiatrowych o mocy do 40 </w:t>
      </w:r>
      <w:proofErr w:type="spellStart"/>
      <w:r w:rsidRPr="00DF2BAD">
        <w:rPr>
          <w:sz w:val="24"/>
          <w:szCs w:val="24"/>
        </w:rPr>
        <w:t>kW</w:t>
      </w:r>
      <w:proofErr w:type="spellEnd"/>
      <w:r w:rsidRPr="00DF2BAD">
        <w:rPr>
          <w:sz w:val="24"/>
          <w:szCs w:val="24"/>
        </w:rPr>
        <w:t>.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 xml:space="preserve">Nabór ogłoszony został przez Wojewódzki Fundusz Ochrony Środowiska i Gospodarki Wodnej </w:t>
      </w: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>w Toruniu.</w:t>
      </w:r>
    </w:p>
    <w:p w:rsidR="00DF2BAD" w:rsidRPr="00DF2BAD" w:rsidRDefault="00DF2BAD" w:rsidP="00DF2BAD">
      <w:pPr>
        <w:rPr>
          <w:sz w:val="24"/>
          <w:szCs w:val="24"/>
        </w:rPr>
      </w:pP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>3. Poinformować o możliwościach ubiegania się o środki finansowe w ramach Działania 3.1 wspieranie wytwarzania i dystrybucji energii pochodzącej ze źródeł odnawialnych.</w:t>
      </w:r>
    </w:p>
    <w:p w:rsidR="00DF2BAD" w:rsidRPr="00DF2BAD" w:rsidRDefault="00DF2BAD" w:rsidP="00DF2BAD">
      <w:pPr>
        <w:rPr>
          <w:sz w:val="24"/>
          <w:szCs w:val="24"/>
        </w:rPr>
      </w:pPr>
    </w:p>
    <w:p w:rsidR="00DF2BAD" w:rsidRPr="00DF2BAD" w:rsidRDefault="00DF2BAD" w:rsidP="00DF2BAD">
      <w:pPr>
        <w:rPr>
          <w:sz w:val="24"/>
          <w:szCs w:val="24"/>
        </w:rPr>
      </w:pPr>
      <w:r w:rsidRPr="00DF2BAD">
        <w:rPr>
          <w:sz w:val="24"/>
          <w:szCs w:val="24"/>
        </w:rPr>
        <w:t>Komisja wnioskuje o wyznaczenie pracownika do prowadzenia powyższych zadań.</w:t>
      </w:r>
    </w:p>
    <w:p w:rsidR="00DF2BAD" w:rsidRPr="00DF2BAD" w:rsidRDefault="00DF2BAD" w:rsidP="00D565BA">
      <w:pPr>
        <w:spacing w:line="276" w:lineRule="auto"/>
        <w:jc w:val="both"/>
        <w:rPr>
          <w:sz w:val="24"/>
          <w:szCs w:val="24"/>
        </w:rPr>
      </w:pPr>
    </w:p>
    <w:p w:rsidR="0027792D" w:rsidRPr="00DF2BAD" w:rsidRDefault="00DF2BAD" w:rsidP="00A74216">
      <w:pPr>
        <w:rPr>
          <w:sz w:val="24"/>
          <w:szCs w:val="24"/>
        </w:rPr>
      </w:pPr>
      <w:r w:rsidRPr="00DF2BAD">
        <w:rPr>
          <w:sz w:val="24"/>
          <w:szCs w:val="24"/>
        </w:rPr>
        <w:t>Na tym posiedzenie zakończono.</w:t>
      </w:r>
    </w:p>
    <w:p w:rsidR="00DF2BAD" w:rsidRPr="00DF2BAD" w:rsidRDefault="00DF2BAD" w:rsidP="00A74216">
      <w:pPr>
        <w:rPr>
          <w:sz w:val="24"/>
          <w:szCs w:val="24"/>
        </w:rPr>
      </w:pPr>
      <w:r w:rsidRPr="00DF2BAD">
        <w:rPr>
          <w:sz w:val="24"/>
          <w:szCs w:val="24"/>
        </w:rPr>
        <w:t>Protokółowała: GK</w:t>
      </w:r>
    </w:p>
    <w:sectPr w:rsidR="00DF2BAD" w:rsidRPr="00DF2BAD" w:rsidSect="0027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61A"/>
    <w:multiLevelType w:val="hybridMultilevel"/>
    <w:tmpl w:val="81121E7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BA2384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F633F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18E5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4E1E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BEF96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5099F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54EB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3058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271476"/>
    <w:multiLevelType w:val="hybridMultilevel"/>
    <w:tmpl w:val="DE1A4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80332"/>
    <w:multiLevelType w:val="hybridMultilevel"/>
    <w:tmpl w:val="9F621BF2"/>
    <w:lvl w:ilvl="0" w:tplc="33FE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F01EC"/>
    <w:multiLevelType w:val="hybridMultilevel"/>
    <w:tmpl w:val="C5CA8288"/>
    <w:lvl w:ilvl="0" w:tplc="33FE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0260F2"/>
    <w:multiLevelType w:val="hybridMultilevel"/>
    <w:tmpl w:val="CE1476C0"/>
    <w:lvl w:ilvl="0" w:tplc="157ED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4216"/>
    <w:rsid w:val="0027792D"/>
    <w:rsid w:val="00565445"/>
    <w:rsid w:val="00601008"/>
    <w:rsid w:val="00665665"/>
    <w:rsid w:val="00A74216"/>
    <w:rsid w:val="00D565BA"/>
    <w:rsid w:val="00DF2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rozdział"/>
    <w:basedOn w:val="Normalny"/>
    <w:uiPriority w:val="34"/>
    <w:qFormat/>
    <w:rsid w:val="00D565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1867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6</cp:revision>
  <cp:lastPrinted>2017-06-08T10:43:00Z</cp:lastPrinted>
  <dcterms:created xsi:type="dcterms:W3CDTF">2017-05-24T12:03:00Z</dcterms:created>
  <dcterms:modified xsi:type="dcterms:W3CDTF">2017-06-08T10:43:00Z</dcterms:modified>
</cp:coreProperties>
</file>